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98" w:rsidRPr="00F15849" w:rsidRDefault="00872F98" w:rsidP="00872F98">
      <w:pPr>
        <w:keepNext/>
        <w:keepLines/>
        <w:tabs>
          <w:tab w:val="left" w:pos="4020"/>
          <w:tab w:val="left" w:pos="6570"/>
        </w:tabs>
        <w:spacing w:after="0" w:line="22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приема заключений по результатам проведения </w:t>
      </w:r>
      <w:proofErr w:type="gramStart"/>
      <w:r w:rsidRPr="00F1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независимой</w:t>
      </w:r>
      <w:proofErr w:type="gramEnd"/>
      <w:r w:rsidRPr="00F1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872F98" w:rsidRPr="00F15849" w:rsidRDefault="00872F98" w:rsidP="00872F98">
      <w:pPr>
        <w:widowControl w:val="0"/>
        <w:autoSpaceDE w:val="0"/>
        <w:autoSpaceDN w:val="0"/>
        <w:adjustRightInd w:val="0"/>
        <w:spacing w:after="0" w:line="2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Pr="00F1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антикоррупционной экспертизы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13.12.2022 по 21</w:t>
      </w:r>
      <w:r w:rsidRPr="0058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</w:p>
    <w:p w:rsidR="00872F98" w:rsidRPr="00F15849" w:rsidRDefault="00872F98" w:rsidP="00872F98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2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F98" w:rsidRPr="00F15849" w:rsidRDefault="00872F98" w:rsidP="00872F98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2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r w:rsidRPr="00F15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управление администрации района </w:t>
      </w:r>
    </w:p>
    <w:p w:rsidR="00872F98" w:rsidRPr="00F15849" w:rsidRDefault="00872F98" w:rsidP="00872F98">
      <w:pPr>
        <w:tabs>
          <w:tab w:val="left" w:pos="607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72F98" w:rsidRPr="00F15849" w:rsidRDefault="00872F98" w:rsidP="00872F98">
      <w:pPr>
        <w:tabs>
          <w:tab w:val="left" w:pos="60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72F98" w:rsidRPr="00F15849" w:rsidRDefault="00872F98" w:rsidP="00872F98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F96" w:rsidRDefault="00556F96" w:rsidP="00556F96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F98" w:rsidRPr="00F15849" w:rsidRDefault="00872F98" w:rsidP="00556F96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872F98" w:rsidRPr="00F15849" w:rsidRDefault="00872F98" w:rsidP="00556F96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ОХОТСКОГО МУНИЦИПАЛЬНОГО РАЙОНА</w:t>
      </w:r>
    </w:p>
    <w:p w:rsidR="00872F98" w:rsidRPr="00F15849" w:rsidRDefault="00872F98" w:rsidP="00556F96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872F98" w:rsidRPr="00F15849" w:rsidRDefault="00872F98" w:rsidP="00556F96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F98" w:rsidRPr="00F15849" w:rsidRDefault="00872F98" w:rsidP="00556F96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F98" w:rsidRPr="00F15849" w:rsidRDefault="00872F98" w:rsidP="00556F96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872F98" w:rsidRPr="00F15849" w:rsidRDefault="00872F98" w:rsidP="00556F9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</w:rPr>
        <w:tab/>
      </w:r>
    </w:p>
    <w:p w:rsidR="00872F98" w:rsidRPr="00F15849" w:rsidRDefault="00872F98" w:rsidP="00872F98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 xml:space="preserve">___________ № ________                  </w:t>
      </w:r>
    </w:p>
    <w:p w:rsidR="00872F98" w:rsidRPr="00F15849" w:rsidRDefault="00872F98" w:rsidP="00872F98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</w:rPr>
        <w:t>р</w:t>
      </w:r>
      <w:r w:rsidRPr="00F15849">
        <w:rPr>
          <w:rFonts w:ascii="Times New Roman" w:eastAsia="Times New Roman" w:hAnsi="Times New Roman" w:cs="Times New Roman"/>
        </w:rPr>
        <w:t>п</w:t>
      </w:r>
      <w:proofErr w:type="spellEnd"/>
      <w:r w:rsidRPr="00F15849">
        <w:rPr>
          <w:rFonts w:ascii="Times New Roman" w:eastAsia="Times New Roman" w:hAnsi="Times New Roman" w:cs="Times New Roman"/>
        </w:rPr>
        <w:t>. Охотск</w:t>
      </w:r>
      <w:r w:rsidRPr="00F15849">
        <w:rPr>
          <w:rFonts w:ascii="Times New Roman" w:eastAsia="Times New Roman" w:hAnsi="Times New Roman" w:cs="Times New Roman"/>
        </w:rPr>
        <w:tab/>
      </w:r>
    </w:p>
    <w:p w:rsidR="00895757" w:rsidRDefault="00895757" w:rsidP="0087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F98" w:rsidRDefault="00872F98" w:rsidP="00872F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6CA0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827AB6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из бюджета Охотского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827AB6">
        <w:rPr>
          <w:rFonts w:ascii="Times New Roman" w:hAnsi="Times New Roman" w:cs="Times New Roman"/>
          <w:sz w:val="28"/>
          <w:szCs w:val="28"/>
        </w:rPr>
        <w:t>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лансированности бюджетов го</w:t>
      </w:r>
      <w:r w:rsidRPr="00827AB6">
        <w:rPr>
          <w:rFonts w:ascii="Times New Roman" w:hAnsi="Times New Roman" w:cs="Times New Roman"/>
          <w:sz w:val="28"/>
          <w:szCs w:val="28"/>
        </w:rPr>
        <w:t>родского и сельских поселени</w:t>
      </w:r>
      <w:r>
        <w:rPr>
          <w:rFonts w:ascii="Times New Roman" w:hAnsi="Times New Roman" w:cs="Times New Roman"/>
          <w:sz w:val="28"/>
          <w:szCs w:val="28"/>
        </w:rPr>
        <w:t xml:space="preserve">й, входящих в состав Охотского </w:t>
      </w:r>
      <w:r w:rsidRPr="00827AB6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4E6CA0">
        <w:rPr>
          <w:rFonts w:ascii="Times New Roman" w:hAnsi="Times New Roman" w:cs="Times New Roman"/>
          <w:sz w:val="28"/>
          <w:szCs w:val="28"/>
        </w:rPr>
        <w:tab/>
      </w:r>
    </w:p>
    <w:p w:rsidR="00872F98" w:rsidRDefault="00872F98" w:rsidP="0087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F98" w:rsidRDefault="00872F98" w:rsidP="0087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F98" w:rsidRDefault="00872F98" w:rsidP="00872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142.4</w:t>
      </w:r>
      <w:r w:rsidRPr="00900088">
        <w:rPr>
          <w:rFonts w:ascii="Times New Roman" w:hAnsi="Times New Roman" w:cs="Times New Roman"/>
          <w:sz w:val="28"/>
          <w:szCs w:val="28"/>
        </w:rPr>
        <w:t xml:space="preserve"> Бюджетного кодекса Рос</w:t>
      </w:r>
      <w:r>
        <w:rPr>
          <w:rFonts w:ascii="Times New Roman" w:hAnsi="Times New Roman" w:cs="Times New Roman"/>
          <w:sz w:val="28"/>
          <w:szCs w:val="28"/>
        </w:rPr>
        <w:t>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дерации и </w:t>
      </w:r>
      <w:r w:rsidRPr="006351D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56F96">
        <w:rPr>
          <w:rFonts w:ascii="Times New Roman" w:hAnsi="Times New Roman" w:cs="Times New Roman"/>
          <w:sz w:val="28"/>
          <w:szCs w:val="28"/>
        </w:rPr>
        <w:t xml:space="preserve">совершенствования и </w:t>
      </w:r>
      <w:r w:rsidRPr="006351D8">
        <w:rPr>
          <w:rFonts w:ascii="Times New Roman" w:hAnsi="Times New Roman" w:cs="Times New Roman"/>
          <w:sz w:val="28"/>
          <w:szCs w:val="28"/>
        </w:rPr>
        <w:t>упорядочения процедуры предоста</w:t>
      </w:r>
      <w:r w:rsidRPr="006351D8">
        <w:rPr>
          <w:rFonts w:ascii="Times New Roman" w:hAnsi="Times New Roman" w:cs="Times New Roman"/>
          <w:sz w:val="28"/>
          <w:szCs w:val="28"/>
        </w:rPr>
        <w:t>в</w:t>
      </w:r>
      <w:r w:rsidRPr="006351D8">
        <w:rPr>
          <w:rFonts w:ascii="Times New Roman" w:hAnsi="Times New Roman" w:cs="Times New Roman"/>
          <w:sz w:val="28"/>
          <w:szCs w:val="28"/>
        </w:rPr>
        <w:t xml:space="preserve">ления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>Охотского</w:t>
      </w:r>
      <w:r w:rsidRPr="006351D8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6351D8">
        <w:rPr>
          <w:rFonts w:ascii="Times New Roman" w:hAnsi="Times New Roman" w:cs="Times New Roman"/>
          <w:sz w:val="28"/>
          <w:szCs w:val="28"/>
        </w:rPr>
        <w:t>и</w:t>
      </w:r>
      <w:r w:rsidRPr="006351D8">
        <w:rPr>
          <w:rFonts w:ascii="Times New Roman" w:hAnsi="Times New Roman" w:cs="Times New Roman"/>
          <w:sz w:val="28"/>
          <w:szCs w:val="28"/>
        </w:rPr>
        <w:t xml:space="preserve">пального района Хабаровского края на обеспечение сбалансированности бюджетов </w:t>
      </w:r>
      <w:r w:rsidRPr="00872F98">
        <w:rPr>
          <w:rFonts w:ascii="Times New Roman" w:hAnsi="Times New Roman" w:cs="Times New Roman"/>
          <w:sz w:val="28"/>
          <w:szCs w:val="28"/>
        </w:rPr>
        <w:t>городского и сельских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51D8">
        <w:rPr>
          <w:rFonts w:ascii="Times New Roman" w:hAnsi="Times New Roman" w:cs="Times New Roman"/>
          <w:sz w:val="28"/>
          <w:szCs w:val="28"/>
        </w:rPr>
        <w:t xml:space="preserve"> </w:t>
      </w:r>
      <w:r w:rsidRPr="00872F98">
        <w:rPr>
          <w:rFonts w:ascii="Times New Roman" w:hAnsi="Times New Roman" w:cs="Times New Roman"/>
          <w:sz w:val="28"/>
          <w:szCs w:val="28"/>
        </w:rPr>
        <w:t>входящих в состав Охотского муниципал</w:t>
      </w:r>
      <w:r w:rsidRPr="00872F98">
        <w:rPr>
          <w:rFonts w:ascii="Times New Roman" w:hAnsi="Times New Roman" w:cs="Times New Roman"/>
          <w:sz w:val="28"/>
          <w:szCs w:val="28"/>
        </w:rPr>
        <w:t>ь</w:t>
      </w:r>
      <w:r w:rsidRPr="00872F98">
        <w:rPr>
          <w:rFonts w:ascii="Times New Roman" w:hAnsi="Times New Roman" w:cs="Times New Roman"/>
          <w:sz w:val="28"/>
          <w:szCs w:val="28"/>
        </w:rPr>
        <w:t xml:space="preserve">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355EC8">
        <w:rPr>
          <w:rFonts w:ascii="Times New Roman" w:hAnsi="Times New Roman" w:cs="Times New Roman"/>
          <w:sz w:val="28"/>
          <w:szCs w:val="28"/>
        </w:rPr>
        <w:t xml:space="preserve"> Охотского муниципал</w:t>
      </w:r>
      <w:r w:rsidRPr="00355EC8">
        <w:rPr>
          <w:rFonts w:ascii="Times New Roman" w:hAnsi="Times New Roman" w:cs="Times New Roman"/>
          <w:sz w:val="28"/>
          <w:szCs w:val="28"/>
        </w:rPr>
        <w:t>ь</w:t>
      </w:r>
      <w:r w:rsidRPr="00355EC8">
        <w:rPr>
          <w:rFonts w:ascii="Times New Roman" w:hAnsi="Times New Roman" w:cs="Times New Roman"/>
          <w:sz w:val="28"/>
          <w:szCs w:val="28"/>
        </w:rPr>
        <w:t>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872F98" w:rsidRPr="00900088" w:rsidRDefault="00872F98" w:rsidP="00872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Pr="00900088">
        <w:rPr>
          <w:rFonts w:ascii="Times New Roman" w:hAnsi="Times New Roman" w:cs="Times New Roman"/>
          <w:sz w:val="28"/>
          <w:szCs w:val="28"/>
        </w:rPr>
        <w:t>:</w:t>
      </w:r>
    </w:p>
    <w:p w:rsidR="00872F98" w:rsidRDefault="00872F98" w:rsidP="00872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E6CA0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AE7C20">
        <w:rPr>
          <w:rFonts w:ascii="Times New Roman" w:hAnsi="Times New Roman" w:cs="Times New Roman"/>
          <w:sz w:val="28"/>
          <w:szCs w:val="28"/>
        </w:rPr>
        <w:t>предоставления иных межбюдже</w:t>
      </w:r>
      <w:r w:rsidRPr="00AE7C20">
        <w:rPr>
          <w:rFonts w:ascii="Times New Roman" w:hAnsi="Times New Roman" w:cs="Times New Roman"/>
          <w:sz w:val="28"/>
          <w:szCs w:val="28"/>
        </w:rPr>
        <w:t>т</w:t>
      </w:r>
      <w:r w:rsidRPr="00AE7C20">
        <w:rPr>
          <w:rFonts w:ascii="Times New Roman" w:hAnsi="Times New Roman" w:cs="Times New Roman"/>
          <w:sz w:val="28"/>
          <w:szCs w:val="28"/>
        </w:rPr>
        <w:t xml:space="preserve">ных трансфертов из бюджета Охотского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Хабаро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ского края на </w:t>
      </w:r>
      <w:r w:rsidRPr="00AE7C20">
        <w:rPr>
          <w:rFonts w:ascii="Times New Roman" w:hAnsi="Times New Roman" w:cs="Times New Roman"/>
          <w:sz w:val="28"/>
          <w:szCs w:val="28"/>
        </w:rPr>
        <w:t>обеспечение сбалансированности бюджетов городского и сел</w:t>
      </w:r>
      <w:r w:rsidRPr="00AE7C20">
        <w:rPr>
          <w:rFonts w:ascii="Times New Roman" w:hAnsi="Times New Roman" w:cs="Times New Roman"/>
          <w:sz w:val="28"/>
          <w:szCs w:val="28"/>
        </w:rPr>
        <w:t>ь</w:t>
      </w:r>
      <w:r w:rsidRPr="00AE7C20">
        <w:rPr>
          <w:rFonts w:ascii="Times New Roman" w:hAnsi="Times New Roman" w:cs="Times New Roman"/>
          <w:sz w:val="28"/>
          <w:szCs w:val="28"/>
        </w:rPr>
        <w:t>ских поселений, входящих в состав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50C">
        <w:rPr>
          <w:rFonts w:ascii="Times New Roman" w:hAnsi="Times New Roman" w:cs="Times New Roman"/>
          <w:sz w:val="28"/>
          <w:szCs w:val="28"/>
        </w:rPr>
        <w:t>ровского края</w:t>
      </w:r>
      <w:r w:rsidRPr="004E6CA0">
        <w:rPr>
          <w:rFonts w:ascii="Times New Roman" w:hAnsi="Times New Roman" w:cs="Times New Roman"/>
          <w:sz w:val="28"/>
          <w:szCs w:val="28"/>
        </w:rPr>
        <w:t>.</w:t>
      </w:r>
    </w:p>
    <w:p w:rsidR="00872F98" w:rsidRDefault="00872F98" w:rsidP="00872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ADD"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proofErr w:type="gramStart"/>
      <w:r w:rsidRPr="00014ADD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60016A" w:rsidRPr="0060016A">
        <w:rPr>
          <w:rFonts w:ascii="Times New Roman" w:hAnsi="Times New Roman" w:cs="Times New Roman"/>
          <w:sz w:val="28"/>
          <w:szCs w:val="28"/>
        </w:rPr>
        <w:t>Охотск</w:t>
      </w:r>
      <w:r w:rsidR="0060016A" w:rsidRPr="0060016A">
        <w:rPr>
          <w:rFonts w:ascii="Times New Roman" w:hAnsi="Times New Roman" w:cs="Times New Roman"/>
          <w:sz w:val="28"/>
          <w:szCs w:val="28"/>
        </w:rPr>
        <w:t>о</w:t>
      </w:r>
      <w:r w:rsidR="0060016A" w:rsidRPr="0060016A">
        <w:rPr>
          <w:rFonts w:ascii="Times New Roman" w:hAnsi="Times New Roman" w:cs="Times New Roman"/>
          <w:sz w:val="28"/>
          <w:szCs w:val="28"/>
        </w:rPr>
        <w:t>го муниципального района Хабаровского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72F98" w:rsidRDefault="00872F98" w:rsidP="00872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14ADD">
        <w:rPr>
          <w:rFonts w:ascii="Times New Roman" w:hAnsi="Times New Roman" w:cs="Times New Roman"/>
          <w:sz w:val="28"/>
          <w:szCs w:val="28"/>
        </w:rPr>
        <w:t>т 11.10.2018 № 17 «О порядке предоставления иных межбюджетных трансфертов из бюджета Охотского муниципального района на обеспечение сбалансированности бюджетов городского и сельских поселений, входящих в состав Охотского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C41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F98" w:rsidRPr="00C41C72" w:rsidRDefault="00872F98" w:rsidP="00556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72">
        <w:rPr>
          <w:rFonts w:ascii="Times New Roman" w:hAnsi="Times New Roman" w:cs="Times New Roman"/>
          <w:sz w:val="28"/>
          <w:szCs w:val="28"/>
        </w:rPr>
        <w:t>- от 26.05.2020 № 27</w:t>
      </w:r>
      <w:r w:rsidR="00C41C72">
        <w:rPr>
          <w:rFonts w:ascii="Times New Roman" w:hAnsi="Times New Roman" w:cs="Times New Roman"/>
          <w:sz w:val="28"/>
          <w:szCs w:val="28"/>
        </w:rPr>
        <w:t xml:space="preserve"> </w:t>
      </w:r>
      <w:r w:rsidR="00556F96">
        <w:rPr>
          <w:rFonts w:ascii="Times New Roman" w:hAnsi="Times New Roman" w:cs="Times New Roman"/>
          <w:sz w:val="28"/>
          <w:szCs w:val="28"/>
        </w:rPr>
        <w:t>«</w:t>
      </w:r>
      <w:r w:rsidR="00556F96" w:rsidRPr="00556F96">
        <w:rPr>
          <w:rFonts w:ascii="Times New Roman" w:hAnsi="Times New Roman" w:cs="Times New Roman"/>
          <w:sz w:val="28"/>
          <w:szCs w:val="28"/>
        </w:rPr>
        <w:t>О внесении изменений в порядок п</w:t>
      </w:r>
      <w:r w:rsidR="00556F96">
        <w:rPr>
          <w:rFonts w:ascii="Times New Roman" w:hAnsi="Times New Roman" w:cs="Times New Roman"/>
          <w:sz w:val="28"/>
          <w:szCs w:val="28"/>
        </w:rPr>
        <w:t xml:space="preserve">редоставления иных межбюджетных </w:t>
      </w:r>
      <w:r w:rsidR="00556F96" w:rsidRPr="00556F96">
        <w:rPr>
          <w:rFonts w:ascii="Times New Roman" w:hAnsi="Times New Roman" w:cs="Times New Roman"/>
          <w:sz w:val="28"/>
          <w:szCs w:val="28"/>
        </w:rPr>
        <w:t>трансфертов из бюджета Охотского муниципального района на обеспечение</w:t>
      </w:r>
      <w:r w:rsidR="00556F96">
        <w:rPr>
          <w:rFonts w:ascii="Times New Roman" w:hAnsi="Times New Roman" w:cs="Times New Roman"/>
          <w:sz w:val="28"/>
          <w:szCs w:val="28"/>
        </w:rPr>
        <w:t xml:space="preserve"> </w:t>
      </w:r>
      <w:r w:rsidR="00556F96" w:rsidRPr="00556F96">
        <w:rPr>
          <w:rFonts w:ascii="Times New Roman" w:hAnsi="Times New Roman" w:cs="Times New Roman"/>
          <w:sz w:val="28"/>
          <w:szCs w:val="28"/>
        </w:rPr>
        <w:t>сбалансированности бюджетов городского и сельских поселений, входящих в</w:t>
      </w:r>
      <w:r w:rsidR="00556F96">
        <w:rPr>
          <w:rFonts w:ascii="Times New Roman" w:hAnsi="Times New Roman" w:cs="Times New Roman"/>
          <w:sz w:val="28"/>
          <w:szCs w:val="28"/>
        </w:rPr>
        <w:t xml:space="preserve"> </w:t>
      </w:r>
      <w:r w:rsidR="00556F96" w:rsidRPr="00556F96">
        <w:rPr>
          <w:rFonts w:ascii="Times New Roman" w:hAnsi="Times New Roman" w:cs="Times New Roman"/>
          <w:sz w:val="28"/>
          <w:szCs w:val="28"/>
        </w:rPr>
        <w:t>состав Охотского муниципального района, утве</w:t>
      </w:r>
      <w:r w:rsidR="00556F96" w:rsidRPr="00556F96">
        <w:rPr>
          <w:rFonts w:ascii="Times New Roman" w:hAnsi="Times New Roman" w:cs="Times New Roman"/>
          <w:sz w:val="28"/>
          <w:szCs w:val="28"/>
        </w:rPr>
        <w:t>р</w:t>
      </w:r>
      <w:r w:rsidR="00556F96" w:rsidRPr="00556F96">
        <w:rPr>
          <w:rFonts w:ascii="Times New Roman" w:hAnsi="Times New Roman" w:cs="Times New Roman"/>
          <w:sz w:val="28"/>
          <w:szCs w:val="28"/>
        </w:rPr>
        <w:lastRenderedPageBreak/>
        <w:t>жденный решением Собрания депутатов Охотского муниципального района Хабаровского края от</w:t>
      </w:r>
      <w:r w:rsidR="00556F96">
        <w:rPr>
          <w:rFonts w:ascii="Times New Roman" w:hAnsi="Times New Roman" w:cs="Times New Roman"/>
          <w:sz w:val="28"/>
          <w:szCs w:val="28"/>
        </w:rPr>
        <w:t xml:space="preserve"> </w:t>
      </w:r>
      <w:r w:rsidR="00556F96" w:rsidRPr="00556F96">
        <w:rPr>
          <w:rFonts w:ascii="Times New Roman" w:hAnsi="Times New Roman" w:cs="Times New Roman"/>
          <w:sz w:val="28"/>
          <w:szCs w:val="28"/>
        </w:rPr>
        <w:t>11.10.2018 № 17</w:t>
      </w:r>
      <w:r w:rsidR="00556F96">
        <w:rPr>
          <w:rFonts w:ascii="Times New Roman" w:hAnsi="Times New Roman" w:cs="Times New Roman"/>
          <w:sz w:val="28"/>
          <w:szCs w:val="28"/>
        </w:rPr>
        <w:t>».</w:t>
      </w:r>
    </w:p>
    <w:p w:rsidR="00872F98" w:rsidRPr="00014ADD" w:rsidRDefault="00872F98" w:rsidP="00872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ADD">
        <w:rPr>
          <w:rFonts w:ascii="Times New Roman" w:hAnsi="Times New Roman" w:cs="Times New Roman"/>
          <w:sz w:val="28"/>
          <w:szCs w:val="28"/>
        </w:rPr>
        <w:t>3. Опубликовать настоящее решение в Сборнике муниципальных пр</w:t>
      </w:r>
      <w:r w:rsidRPr="00014ADD">
        <w:rPr>
          <w:rFonts w:ascii="Times New Roman" w:hAnsi="Times New Roman" w:cs="Times New Roman"/>
          <w:sz w:val="28"/>
          <w:szCs w:val="28"/>
        </w:rPr>
        <w:t>а</w:t>
      </w:r>
      <w:r w:rsidRPr="00014ADD">
        <w:rPr>
          <w:rFonts w:ascii="Times New Roman" w:hAnsi="Times New Roman" w:cs="Times New Roman"/>
          <w:sz w:val="28"/>
          <w:szCs w:val="28"/>
        </w:rPr>
        <w:t>вовых актов Охотского муниципального района Хабаровского края.</w:t>
      </w:r>
    </w:p>
    <w:p w:rsidR="00872F98" w:rsidRDefault="00872F98" w:rsidP="00872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ADD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</w:t>
      </w:r>
      <w:r w:rsidRPr="00014ADD">
        <w:rPr>
          <w:rFonts w:ascii="Times New Roman" w:hAnsi="Times New Roman" w:cs="Times New Roman"/>
          <w:sz w:val="28"/>
          <w:szCs w:val="28"/>
        </w:rPr>
        <w:t>б</w:t>
      </w:r>
      <w:r w:rsidRPr="00014ADD">
        <w:rPr>
          <w:rFonts w:ascii="Times New Roman" w:hAnsi="Times New Roman" w:cs="Times New Roman"/>
          <w:sz w:val="28"/>
          <w:szCs w:val="28"/>
        </w:rPr>
        <w:t>ликования.</w:t>
      </w:r>
    </w:p>
    <w:p w:rsidR="00F84ABE" w:rsidRDefault="00F84ABE" w:rsidP="00F8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ABE" w:rsidRDefault="00F84ABE" w:rsidP="00F8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F84ABE" w:rsidRPr="003E0F84" w:rsidTr="00B616A2">
        <w:tc>
          <w:tcPr>
            <w:tcW w:w="4835" w:type="dxa"/>
          </w:tcPr>
          <w:p w:rsidR="00F84ABE" w:rsidRPr="003E0F84" w:rsidRDefault="00F84ABE" w:rsidP="00B61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4629" w:type="dxa"/>
          </w:tcPr>
          <w:p w:rsidR="00F84ABE" w:rsidRPr="003E0F84" w:rsidRDefault="00F84ABE" w:rsidP="00B61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F84ABE" w:rsidRPr="003E0F84" w:rsidTr="00B616A2">
        <w:tc>
          <w:tcPr>
            <w:tcW w:w="4835" w:type="dxa"/>
            <w:vAlign w:val="center"/>
          </w:tcPr>
          <w:p w:rsidR="00F84ABE" w:rsidRPr="003E0F84" w:rsidRDefault="00F84ABE" w:rsidP="00B61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4ABE" w:rsidRPr="003E0F84" w:rsidRDefault="00F84ABE" w:rsidP="00B61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4ABE" w:rsidRPr="003E0F84" w:rsidRDefault="00F84ABE" w:rsidP="00B61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М.А. Климов</w:t>
            </w:r>
          </w:p>
          <w:p w:rsidR="00F84ABE" w:rsidRPr="003E0F84" w:rsidRDefault="00F84ABE" w:rsidP="00B616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84ABE" w:rsidRPr="003E0F84" w:rsidRDefault="00F84ABE" w:rsidP="00B616A2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F84ABE" w:rsidRPr="003E0F84" w:rsidRDefault="00F84ABE" w:rsidP="00B616A2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F84ABE" w:rsidRPr="003E0F84" w:rsidRDefault="00F84ABE" w:rsidP="00B61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F84ABE" w:rsidRPr="003E0F84" w:rsidRDefault="00F84ABE" w:rsidP="00B61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F84ABE" w:rsidRPr="00014ADD" w:rsidRDefault="00F84ABE" w:rsidP="00F8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D2C" w:rsidRDefault="00A67D2C" w:rsidP="0087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7D2C" w:rsidSect="00872F98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67D2C" w:rsidRPr="00F63A5F" w:rsidRDefault="00A67D2C" w:rsidP="00A67D2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3A5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67D2C" w:rsidRPr="00F63A5F" w:rsidRDefault="00A67D2C" w:rsidP="00A67D2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67D2C" w:rsidRPr="00F63A5F" w:rsidRDefault="00A67D2C" w:rsidP="00A67D2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63A5F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A67D2C" w:rsidRPr="00F63A5F" w:rsidRDefault="00A67D2C" w:rsidP="00A67D2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63A5F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A67D2C" w:rsidRPr="00F63A5F" w:rsidRDefault="00A67D2C" w:rsidP="00A67D2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63A5F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67D2C" w:rsidRPr="00F63A5F" w:rsidRDefault="00A67D2C" w:rsidP="00A67D2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67D2C" w:rsidRDefault="00A67D2C" w:rsidP="00A67D2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63A5F">
        <w:rPr>
          <w:rFonts w:ascii="Times New Roman" w:hAnsi="Times New Roman" w:cs="Times New Roman"/>
          <w:sz w:val="28"/>
          <w:szCs w:val="28"/>
        </w:rPr>
        <w:t>от                        №</w:t>
      </w:r>
    </w:p>
    <w:p w:rsidR="00A67D2C" w:rsidRDefault="00A67D2C" w:rsidP="00A6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D2C" w:rsidRDefault="00A67D2C" w:rsidP="00A6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D2C" w:rsidRPr="007E613E" w:rsidRDefault="00A67D2C" w:rsidP="00A67D2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E613E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D2C" w:rsidRPr="007E613E" w:rsidRDefault="00A67D2C" w:rsidP="00A67D2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7D2C" w:rsidRDefault="00A67D2C" w:rsidP="00A67D2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E613E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 из бюджета Охотского муниципального района Хабаровского кр</w:t>
      </w:r>
      <w:r>
        <w:rPr>
          <w:rFonts w:ascii="Times New Roman" w:hAnsi="Times New Roman" w:cs="Times New Roman"/>
          <w:sz w:val="28"/>
          <w:szCs w:val="28"/>
        </w:rPr>
        <w:t>ая на обеспечение сбалансирова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E613E">
        <w:rPr>
          <w:rFonts w:ascii="Times New Roman" w:hAnsi="Times New Roman" w:cs="Times New Roman"/>
          <w:sz w:val="28"/>
          <w:szCs w:val="28"/>
        </w:rPr>
        <w:t>ности бюджетов городского и сельских по</w:t>
      </w:r>
      <w:r>
        <w:rPr>
          <w:rFonts w:ascii="Times New Roman" w:hAnsi="Times New Roman" w:cs="Times New Roman"/>
          <w:sz w:val="28"/>
          <w:szCs w:val="28"/>
        </w:rPr>
        <w:t>селений, входящих в состав Охо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E613E">
        <w:rPr>
          <w:rFonts w:ascii="Times New Roman" w:hAnsi="Times New Roman" w:cs="Times New Roman"/>
          <w:sz w:val="28"/>
          <w:szCs w:val="28"/>
        </w:rPr>
        <w:t>ского муниципального района Хабаровского края</w:t>
      </w:r>
    </w:p>
    <w:p w:rsidR="00A67D2C" w:rsidRPr="0094262A" w:rsidRDefault="00A67D2C" w:rsidP="00A67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C" w:rsidRDefault="00A67D2C" w:rsidP="00A6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C" w:rsidRPr="0094262A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регулирует предоставление иных межбюдже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трансфертов из бюджета Охотского муниципального района Хабаро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(далее </w:t>
      </w:r>
      <w:r w:rsidRPr="00845D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бюджет, район), на обеспечение сбалансир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ванности бюджетов городского и сельских поселений, входящих в состав района (далее </w:t>
      </w:r>
      <w:r w:rsidRPr="00845D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трансферты на сбалансированность).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67D2C" w:rsidRPr="0094262A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Трансферты на сбалансированность предоставляются финансовым управлением администрации района бюджетам городского и сельских пос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района в пределах объемов бюджетных ассигнований, предусмотре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 данные цели в текущем финансовом году решением о районном бю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 и (или) сводной бюджетной росписью районного бюджета, в следу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случаях:</w:t>
      </w:r>
    </w:p>
    <w:p w:rsidR="00A67D2C" w:rsidRPr="0094262A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недостаточность собственных финансовых сре</w:t>
      </w:r>
      <w:proofErr w:type="gramStart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осуществл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D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и первоочередных расходов бюджетов городского и сельских поселений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 расчетном финансовом году; 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D2C" w:rsidRPr="006351D8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снижение расчетного объема финансовой помощи из районного бюджета бюджетам городского и сельских поселений района на расчетный финансовый год по сравнению с годом, предшествующим расчетному ф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нансовому году; </w:t>
      </w:r>
    </w:p>
    <w:p w:rsidR="00A67D2C" w:rsidRPr="006351D8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закрепление законом Хабаровского края за сельскими поселениями других вопросов местного значения из числа вопросов местного значения г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родских поселений, решаемых районом на территориях сельских поселений; </w:t>
      </w:r>
    </w:p>
    <w:p w:rsidR="00A67D2C" w:rsidRPr="006351D8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возникновение в течение текущего финансового года выпадающих доходов и (или) дополнительных расходов бюджетов городского и сельских поселений района, обусловленных объективными причинами в том числе: </w:t>
      </w:r>
    </w:p>
    <w:p w:rsidR="00A67D2C" w:rsidRPr="006351D8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4.1) расходов, обусловленных предупреждением ситуаций, которые могут привести к нарушению функционирования систем жизнеобеспечения населения, и (или) ликвидации их последствий;</w:t>
      </w:r>
    </w:p>
    <w:p w:rsidR="00A67D2C" w:rsidRPr="006351D8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4.2) социально значимых и первоочередных расходов, возникших в т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текущего финансового года, обусловленных влиянием объективных факторов;</w:t>
      </w:r>
    </w:p>
    <w:p w:rsidR="00A67D2C" w:rsidRPr="006351D8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4.3) по поручению главы района о рассмотрении вопроса предоставл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межбюджетных трансфертов на сбалансированность.</w:t>
      </w:r>
    </w:p>
    <w:p w:rsidR="00A67D2C" w:rsidRPr="006351D8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предоставление иных межбюджетных трансфертов районному бю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жету в форме дотации на обеспечение сбалансированности местных бюдж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из бюджета Хабаровского края для последующего предоставления иных межбюджетных трансфертов бюджетам городского и сельских поселений района.</w:t>
      </w:r>
    </w:p>
    <w:p w:rsidR="00A67D2C" w:rsidRPr="006351D8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увеличение заработной платы работников органов местного </w:t>
      </w:r>
      <w:proofErr w:type="gramStart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само-управления</w:t>
      </w:r>
      <w:proofErr w:type="gramEnd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и сельских поселений района </w:t>
      </w:r>
      <w:r w:rsidRPr="00BF3E9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2020 года.</w:t>
      </w:r>
    </w:p>
    <w:p w:rsidR="00A67D2C" w:rsidRPr="00A22174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Трансферты на сбалансированность предоставляются при соблюд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органами местного самоуправления городского и сельских поселений следующих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D2C" w:rsidRPr="0094262A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предоставления трансфертов на сбалансированность на 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подпунктов 1, 2, 4 пункта 2 настоящего Порядка:</w:t>
      </w:r>
    </w:p>
    <w:p w:rsidR="00A67D2C" w:rsidRPr="0094262A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в течение текущего финансового года решений органами местного самоуправления городского и сельских поселений района об увел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(индексации) размеров должностных окладов депутатов, выборных должностных лиц местного самоуправления, осуществляющих свои полн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мочия на постоянной основе, и муниципальных служащих не чаще принятия соответствующих решений органами местного самоуправления района и в размерах, не превышающих размеров соответствующего увеличения (инде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сации); </w:t>
      </w:r>
      <w:proofErr w:type="gramEnd"/>
    </w:p>
    <w:p w:rsidR="00A67D2C" w:rsidRPr="0094262A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увеличения численности муниципальных служащих;</w:t>
      </w:r>
    </w:p>
    <w:p w:rsidR="00A67D2C" w:rsidRPr="0094262A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неустановление</w:t>
      </w:r>
      <w:proofErr w:type="spellEnd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неисполнение в течение текущего финансового года расходных обязательств, не связанных с решением вопросов, отнесенных Конституцией Российской Федерации, федеральными законами, законами Хабаровского края к полномочиям органов местного самоуправления горо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 сельских поселений района.</w:t>
      </w:r>
    </w:p>
    <w:p w:rsidR="00A67D2C" w:rsidRPr="0094262A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предоставления трансфертов на сбалансированность на 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новании подпункта 2 пункта 2 настоящего Порядка: </w:t>
      </w:r>
    </w:p>
    <w:p w:rsidR="00A67D2C" w:rsidRPr="006351D8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</w:t>
      </w:r>
      <w:proofErr w:type="spellEnd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расчетного уровня бюджетной обеспеченности горо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 сельских поселений района на соответствующий расчетный финанс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год над уровнем, установленным решением о районном бюджете в кач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критерия выравнивания расчетной бюджетной обеспеченности горо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 сельских поселений района.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Calibri"/>
          <w:sz w:val="28"/>
          <w:szCs w:val="28"/>
          <w:lang w:eastAsia="ru-RU"/>
        </w:rPr>
        <w:t>4. Объем трансфертов на сбалансированность, предоставляемый бю</w:t>
      </w:r>
      <w:r w:rsidRPr="006351D8">
        <w:rPr>
          <w:rFonts w:ascii="Times New Roman" w:eastAsia="Times New Roman" w:hAnsi="Times New Roman" w:cs="Calibri"/>
          <w:sz w:val="28"/>
          <w:szCs w:val="28"/>
          <w:lang w:eastAsia="ru-RU"/>
        </w:rPr>
        <w:t>д</w:t>
      </w:r>
      <w:r w:rsidRPr="006351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жету </w:t>
      </w:r>
      <w:r w:rsidRPr="006351D8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i</w:t>
      </w:r>
      <w:r w:rsidRPr="006351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-го поселения в </w:t>
      </w:r>
      <w:r w:rsidRPr="006351D8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n</w:t>
      </w:r>
      <w:r w:rsidRPr="006351D8">
        <w:rPr>
          <w:rFonts w:ascii="Times New Roman" w:eastAsia="Times New Roman" w:hAnsi="Times New Roman" w:cs="Calibri"/>
          <w:sz w:val="28"/>
          <w:szCs w:val="28"/>
          <w:lang w:eastAsia="ru-RU"/>
        </w:rPr>
        <w:t>-ом расчетном финансовом году в случае, указанном в подпункте 1 пункта 2 настоящего Порядка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ИМТ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баланс</m:t>
            </m:r>
          </m:sup>
        </m:sSubSup>
      </m:oMath>
      <w:r w:rsidRPr="006351D8">
        <w:rPr>
          <w:rFonts w:ascii="Times New Roman" w:eastAsia="Times New Roman" w:hAnsi="Times New Roman" w:cs="Calibri"/>
          <w:sz w:val="28"/>
          <w:szCs w:val="28"/>
          <w:lang w:eastAsia="ru-RU"/>
        </w:rPr>
        <w:t>), определяется на эт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6351D8">
        <w:rPr>
          <w:rFonts w:ascii="Times New Roman" w:eastAsia="Times New Roman" w:hAnsi="Times New Roman" w:cs="Calibri"/>
          <w:sz w:val="28"/>
          <w:szCs w:val="28"/>
          <w:lang w:eastAsia="ru-RU"/>
        </w:rPr>
        <w:t>пе</w:t>
      </w:r>
      <w:proofErr w:type="spellEnd"/>
      <w:r w:rsidRPr="006351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формирования районного бюджета на очередной финансовый год и на плановый период и рассчитывается по следующей формуле:</w:t>
      </w:r>
    </w:p>
    <w:p w:rsidR="00A67D2C" w:rsidRPr="006351D8" w:rsidRDefault="00A67D2C" w:rsidP="00A67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ИМТ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баланс</m:t>
            </m:r>
          </m:sup>
        </m:sSubSup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Расх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bSup>
            <m:r>
              <w:rPr>
                <w:rFonts w:ascii="Cambria Math" w:eastAsia="Calibri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НиН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n</m:t>
                </m:r>
              </m:sup>
            </m:sSubSup>
            <m:r>
              <w:rPr>
                <w:rFonts w:ascii="Cambria Math" w:eastAsia="Calibri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n</m:t>
                </m:r>
              </m:sup>
            </m:sSubSup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m</m:t>
                </m:r>
              </m:sub>
              <m:sup/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Расх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p>
                    </m:sSub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НиН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n</m:t>
                        </m:r>
                      </m:sup>
                    </m:sSub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Д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n</m:t>
                        </m:r>
                      </m:sup>
                    </m:sSubSup>
                  </m:e>
                </m:d>
              </m:e>
            </m:nary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БА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баланс</m:t>
            </m:r>
          </m:sup>
        </m:sSubSup>
      </m:oMath>
      <w:r w:rsidRPr="006351D8">
        <w:rPr>
          <w:rFonts w:ascii="Times New Roman" w:eastAsia="Calibri" w:hAnsi="Times New Roman" w:cs="Times New Roman"/>
          <w:sz w:val="28"/>
          <w:szCs w:val="28"/>
        </w:rPr>
        <w:t>, где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Расх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объем социально-значимых и первоочередных ра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 бюджета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поселения в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расчетном финансовом году, определ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емый по следующей формуле: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Расх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Расх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Расх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Расх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-2,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sup>
        </m:sSubSup>
      </m:oMath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фактический объем социально-значимых и первоочер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расходов бюджета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поселения в отчетном финансовом году и году, предшествующем отчетному финансовому году, соответственно.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D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и первоочередных расходов не учит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расходы: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осуществляемые</w:t>
      </w:r>
      <w:proofErr w:type="gramEnd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межбюджетных трансфертов, имеющих ц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левое назначение; 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исполнение закрепленных законом Хабаровского края за сельскими поселениями других вопросов местного значения из числа вопр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местного значения городских поселений, решаемых муниципальным районом на территориях сельских поселений;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НиН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D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прогнозируемый объем налоговых и неналоговых доходов бюджета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поселения в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расчетном финансовом году за исключением поступлений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двигателей, производимые на территории Российской Федерации, транспортного налога;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D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расчетный объем дотации на выравнивание бюджетной обесп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ченности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поселения в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расчетном финансовом году;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баланс</m:t>
            </m:r>
          </m:sup>
        </m:sSubSup>
      </m:oMath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общий объем бюджетных ассигнований, предусмотренный в районном бюджете в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расчетном финансовом году на предоставление трансфертов на сбалансированность в случае, указанном в подпункте 1 пун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2 настоящего Порядка;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района, для которых справедливо следу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неравенство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Расх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НиН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&gt;</m:t>
        </m:r>
        <m:r>
          <w:rPr>
            <w:rFonts w:ascii="Cambria Math" w:hAnsi="Cambria Math" w:cs="Times New Roman"/>
            <w:sz w:val="28"/>
            <w:szCs w:val="28"/>
          </w:rPr>
          <m:t>0</m:t>
        </m:r>
      </m:oMath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соответствующих требованиям, установленным подпунктом 1 пункта 3 настоящего Порядка.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объем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D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и первоочередных расходов и прогнозируемый объем налоговых и неналоговых доходов бюджета i-</w:t>
      </w:r>
      <w:proofErr w:type="spellStart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подлежат согласованию финансовым управлением администрации района с i-</w:t>
      </w:r>
      <w:proofErr w:type="spellStart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поселением в период проведения сверки исходных данных, не-обходимых для расчета распределения дотации на выравнивание бюджетной обеспеченности поселений из районного бюджета, в соответствии с разделом VI порядка определения общего объема и распределения между муниц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пальными образованиями дотаций</w:t>
      </w:r>
      <w:proofErr w:type="gramEnd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выравнивание бюджетной обеспече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поселений из бюджета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района, утвержденного з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Хабаровск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от 29.09.2005 № 296.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Объем трансфертов на сбалансированность, предоставляемый бю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жету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поселения в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расчетном финансовом году в случае, указанном в подпункте 2 пункта 2 настоящего Порядка 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ИМТ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рост</m:t>
            </m:r>
          </m:sup>
        </m:sSubSup>
      </m:oMath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на этапе формирования районного бюджета на очередной финансовый год и на пл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и рассчитывается по следующей формуле: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ИМТ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рост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n-1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ИМТ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баланс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ИМТ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рост</m:t>
                    </m:r>
                  </m:sup>
                </m:sSub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ИМТ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баланс</m:t>
                    </m:r>
                  </m:sup>
                </m:sSubSup>
              </m:e>
            </m:d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  <m:sup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n-1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ИМТ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баланс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ИМТ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рост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ИМТ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баланс</m:t>
                            </m:r>
                          </m:sup>
                        </m:sSubSup>
                      </m:e>
                    </m:d>
                  </m:e>
                </m:d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рост</m:t>
            </m:r>
          </m:sup>
        </m:sSubSup>
      </m:oMath>
      <w:r w:rsidRPr="006351D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bSup>
      </m:oMath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объем дотации на выравнивание бюджетной обесп</w:t>
      </w:r>
      <w:proofErr w:type="spellStart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ченности</w:t>
      </w:r>
      <w:proofErr w:type="spellEnd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поселения в году, предшествующем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-ому расчетному фина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совому году;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ИМТ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баланс</m:t>
            </m:r>
          </m:sup>
        </m:sSubSup>
      </m:oMath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объем трансфертов на сбалансированность, предоставляемый бюджету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поселения в году, предшествующем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-ому расчетному финансовому году, в случае, указанном в подпункте 1 пункта 2 настоящего Порядка;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ИМТ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рост</m:t>
            </m:r>
          </m:sup>
        </m:sSubSup>
      </m:oMath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объем трансфертов на сбалансированность, предоставляемый бюджету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поселения в году, предшествующем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-ому расчетному финансовому году, в случае, указанном в подпункте 2 пункта 2 настоящего Порядка;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рост</m:t>
            </m:r>
          </m:sup>
        </m:sSubSup>
      </m:oMath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общий объем бюджетных ассигнований, предусмотренный в районном бюджете в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расчетном финансовом году на предоставление трансфертов на сбалансированность в случае, указанном в подпункте 2 пун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2 настоящего Порядка;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района, для которых справедливо следующее неравенство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n-1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ИМТ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баланс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ИМТ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рост</m:t>
                    </m:r>
                  </m:sup>
                </m:sSub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ИМТ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баланс</m:t>
                    </m:r>
                  </m:sup>
                </m:sSubSup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proofErr w:type="spellStart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ответствующих</w:t>
      </w:r>
      <w:proofErr w:type="spellEnd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установленным подпунктами 1, 2 пункта 3 настоящего Порядка.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6. Объем трансфертов на сбалансированность, предоставляемый бю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жету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сельского поселения в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расчетном финансовом году в случае, указанном в подпункте 3 пункта 2 настоящего Порядка 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ИМТ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доп</m:t>
            </m:r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.п</m:t>
            </m:r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олномочия</m:t>
            </m:r>
          </m:sup>
        </m:sSubSup>
      </m:oMath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на этапе формирования районного бюджета на очередной ф</w:t>
      </w:r>
      <w:proofErr w:type="spellStart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</w:t>
      </w:r>
      <w:proofErr w:type="spellEnd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и рассчитывается по следующей форм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ле: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ИМТ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доп.полномочия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m=2010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2014</m:t>
                </m:r>
              </m:sup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Расх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sup>
                </m:sSubSup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Расх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bSup>
      </m:oMath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расходов бюджета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сельского поселения в соотве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ствующем </w:t>
      </w:r>
      <w:r w:rsidRPr="00635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финансовом году на исполнение закрепленных законом Х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баровского края за сельскими поселениями других вопросов местного знач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из числа вопросов местного значения городских поселений, решаемых районом на территориях сельских поселений, за исключением расходов на осуществление дорожной деятельности.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не учитываются расходы, осуществляемые за счет межбю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трансфертов, имеющих целевое назначение, и за счет разовых п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ступлений доходов.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трансфертов на сбалансированность, предоставляемых в сл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чае, указанном в подпункте 4 пункта 2 настоящего Порядка, определяется в ходе исполнения районного бюджета в течение текущего финансового года по результатам рассмотрения обращений глав городского и сельских посел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к которым приложено мотивированное обоснование потребности в 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средствах.</w:t>
      </w:r>
      <w:proofErr w:type="gramEnd"/>
    </w:p>
    <w:p w:rsidR="00A67D2C" w:rsidRPr="006351D8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Объем трансфертов на сбалансированность, предоставляемых в сл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чаях, указанных в подпунктах 5 и 6 пункта 2 настоящего Порядка, соотве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объему предоставленных иных межбюджетных трансфертов районн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бюджету в форме дотации на обеспечение сбалансированности местных бюджетов из бюджета Хабаровского края для последующего предоставления иных межбюджетных трансфертов бюджетам городского и сельских посел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ний.  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Трансферты на сбалансированность, предоставляемые на основании подпунктов 1, 2, 3,4 пункта 2 настоящего Порядка, подлежат перечислению в установленном порядке ежемесячно до 20 числа текущего месяца в объеме 1/12 бюджетных ассигнований и лимитов бюджетных обязательств.</w:t>
      </w:r>
    </w:p>
    <w:p w:rsidR="00A67D2C" w:rsidRPr="006351D8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Трансферты на сбалансированность, предоставляемые в случае, ук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в подпунктах 5 и 6 пункта 2 настоящего Порядка, подлежат перечи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в течение 5 рабочих дней со дня поступления в районный бюджет иных межбюджетных трансфертов, предоставленных в форме дотации на обеспечение сбалансированности местных бюджетов из бюджета Хабаро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для последующего предоставления иных межбюджетных тран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фертов бюджетам городского и сельских поселений. </w:t>
      </w:r>
      <w:proofErr w:type="gramEnd"/>
    </w:p>
    <w:p w:rsidR="00A67D2C" w:rsidRPr="006351D8" w:rsidRDefault="00A67D2C" w:rsidP="00A67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целях устранения возникающих в течение текущего финансового года кассовых разрывов в бюджетах поселений межбюджетные трансферты могут предоставляться в опережающем порядке на основании мотивирова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обращения главы </w:t>
      </w:r>
      <w:r w:rsidRPr="001A6E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1A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поступившего на имя начальника ф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Трансферты на сбалансированность предоставляются без устано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направлений их использования.</w:t>
      </w:r>
    </w:p>
    <w:p w:rsidR="00A67D2C" w:rsidRPr="006351D8" w:rsidRDefault="00A67D2C" w:rsidP="00A6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C" w:rsidRPr="0094262A" w:rsidRDefault="00A67D2C" w:rsidP="00A67D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872F98" w:rsidRPr="00872F98" w:rsidRDefault="00872F98" w:rsidP="0087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2F98" w:rsidRPr="00872F98" w:rsidSect="00A67D2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60" w:rsidRDefault="00651360" w:rsidP="00872F98">
      <w:pPr>
        <w:spacing w:after="0" w:line="240" w:lineRule="auto"/>
      </w:pPr>
      <w:r>
        <w:separator/>
      </w:r>
    </w:p>
  </w:endnote>
  <w:endnote w:type="continuationSeparator" w:id="0">
    <w:p w:rsidR="00651360" w:rsidRDefault="00651360" w:rsidP="0087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60" w:rsidRDefault="00651360" w:rsidP="00872F98">
      <w:pPr>
        <w:spacing w:after="0" w:line="240" w:lineRule="auto"/>
      </w:pPr>
      <w:r>
        <w:separator/>
      </w:r>
    </w:p>
  </w:footnote>
  <w:footnote w:type="continuationSeparator" w:id="0">
    <w:p w:rsidR="00651360" w:rsidRDefault="00651360" w:rsidP="0087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601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2F98" w:rsidRPr="00556F96" w:rsidRDefault="00872F9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56F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6F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6F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7D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56F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2F98" w:rsidRDefault="00872F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27"/>
    <w:rsid w:val="00243602"/>
    <w:rsid w:val="00556F96"/>
    <w:rsid w:val="0060016A"/>
    <w:rsid w:val="00651360"/>
    <w:rsid w:val="00872F98"/>
    <w:rsid w:val="00895757"/>
    <w:rsid w:val="009E350C"/>
    <w:rsid w:val="009F16D2"/>
    <w:rsid w:val="00A67D2C"/>
    <w:rsid w:val="00C41C72"/>
    <w:rsid w:val="00DC2127"/>
    <w:rsid w:val="00F8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F98"/>
  </w:style>
  <w:style w:type="paragraph" w:styleId="a5">
    <w:name w:val="footer"/>
    <w:basedOn w:val="a"/>
    <w:link w:val="a6"/>
    <w:uiPriority w:val="99"/>
    <w:unhideWhenUsed/>
    <w:rsid w:val="0087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F98"/>
  </w:style>
  <w:style w:type="paragraph" w:styleId="a7">
    <w:name w:val="Balloon Text"/>
    <w:basedOn w:val="a"/>
    <w:link w:val="a8"/>
    <w:uiPriority w:val="99"/>
    <w:semiHidden/>
    <w:unhideWhenUsed/>
    <w:rsid w:val="00A6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F98"/>
  </w:style>
  <w:style w:type="paragraph" w:styleId="a5">
    <w:name w:val="footer"/>
    <w:basedOn w:val="a"/>
    <w:link w:val="a6"/>
    <w:uiPriority w:val="99"/>
    <w:unhideWhenUsed/>
    <w:rsid w:val="0087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F98"/>
  </w:style>
  <w:style w:type="paragraph" w:styleId="a7">
    <w:name w:val="Balloon Text"/>
    <w:basedOn w:val="a"/>
    <w:link w:val="a8"/>
    <w:uiPriority w:val="99"/>
    <w:semiHidden/>
    <w:unhideWhenUsed/>
    <w:rsid w:val="00A6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2022-12-12T06:29:00Z</dcterms:created>
  <dcterms:modified xsi:type="dcterms:W3CDTF">2022-12-12T07:43:00Z</dcterms:modified>
</cp:coreProperties>
</file>