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AE" w:rsidRPr="004D36AE" w:rsidRDefault="004D36AE" w:rsidP="004D36AE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4D36AE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4D36AE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4D36AE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4D36AE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4D36AE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4D36AE" w:rsidRPr="004D36AE" w:rsidRDefault="004D36AE" w:rsidP="004D36AE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36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D36AE" w:rsidRPr="004D36AE" w:rsidRDefault="004D36AE" w:rsidP="004D36AE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4D36AE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4D36AE" w:rsidRPr="004D36AE" w:rsidRDefault="004D36AE" w:rsidP="004D36AE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36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D36AE" w:rsidRPr="004D36AE" w:rsidRDefault="004D36AE" w:rsidP="004D36AE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4D36AE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№0122600003824000044</w:t>
      </w:r>
    </w:p>
    <w:p w:rsidR="004D36AE" w:rsidRPr="004D36AE" w:rsidRDefault="004D36AE" w:rsidP="004D36AE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11.06.2024 9:12 (MSK+7 (UTC+10) Владивосток, Хабаровск) (по местному времени организации, осуществляющей размещение)</w:t>
      </w:r>
    </w:p>
    <w:p w:rsidR="004D36AE" w:rsidRPr="004D36AE" w:rsidRDefault="004D36AE" w:rsidP="004D36AE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4D36AE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</w:t>
      </w:r>
      <w:proofErr w:type="gramStart"/>
      <w:r w:rsidRPr="004D36AE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!В</w:t>
      </w:r>
      <w:proofErr w:type="gramEnd"/>
      <w:r w:rsidRPr="004D36AE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4D36AE" w:rsidRPr="004D36AE" w:rsidTr="004D36AE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4D36AE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4D36AE" w:rsidRPr="004D36AE" w:rsidRDefault="004D36AE" w:rsidP="004D36AE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4D36AE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11.06.2024 №0122600003824000044</w:t>
        </w:r>
      </w:hyperlink>
    </w:p>
    <w:p w:rsidR="004D36AE" w:rsidRPr="004D36AE" w:rsidRDefault="004D36AE" w:rsidP="004D36AE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4D36AE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Внимание! </w:t>
      </w:r>
      <w:proofErr w:type="gramStart"/>
      <w:r w:rsidRPr="004D36AE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  <w:proofErr w:type="gramEnd"/>
    </w:p>
    <w:p w:rsidR="004D36AE" w:rsidRPr="004D36AE" w:rsidRDefault="004D36AE" w:rsidP="004D36A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D36A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4D36AE" w:rsidRPr="004D36AE" w:rsidTr="004D36A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4D36AE" w:rsidRPr="004D36AE" w:rsidTr="004D36A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</w:t>
            </w:r>
            <w:proofErr w:type="gramStart"/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О«</w:t>
            </w:r>
            <w:proofErr w:type="gramEnd"/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4D36AE" w:rsidRPr="004D36AE" w:rsidTr="004D36A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4D36AE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4D36AE" w:rsidRPr="004D36AE" w:rsidTr="004D36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4D36AE" w:rsidRPr="004D36AE" w:rsidTr="004D36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Приобретение и поставка материалов для проведения ремонта систем водоснабжения</w:t>
            </w:r>
          </w:p>
        </w:tc>
      </w:tr>
      <w:tr w:rsidR="004D36AE" w:rsidRPr="004D36AE" w:rsidTr="004D36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4D36AE" w:rsidRPr="004D36AE" w:rsidTr="004D36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4D36AE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202401226000038001000048  (ИКЗ: 243270002218727000100100400014221244)</w:t>
              </w:r>
            </w:hyperlink>
          </w:p>
        </w:tc>
      </w:tr>
      <w:tr w:rsidR="004D36AE" w:rsidRPr="004D36AE" w:rsidTr="004D36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4D36AE" w:rsidRPr="004D36AE" w:rsidRDefault="004D36AE" w:rsidP="004D36A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D36A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4D36AE" w:rsidRPr="004D36AE" w:rsidTr="004D36A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4D36AE" w:rsidRPr="004D36AE" w:rsidTr="004D36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682480, Хабаровский край, </w:t>
            </w:r>
            <w:proofErr w:type="gramStart"/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УЛ</w:t>
            </w:r>
            <w:proofErr w:type="gramEnd"/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ЛЕНИНА, Д. 16</w:t>
            </w:r>
          </w:p>
        </w:tc>
      </w:tr>
      <w:tr w:rsidR="004D36AE" w:rsidRPr="004D36AE" w:rsidTr="004D36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682480, Хабаровский край, </w:t>
            </w:r>
            <w:proofErr w:type="gramStart"/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УЛ</w:t>
            </w:r>
            <w:proofErr w:type="gramEnd"/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ЛЕНИНА, Д. 16</w:t>
            </w:r>
          </w:p>
        </w:tc>
      </w:tr>
      <w:tr w:rsidR="004D36AE" w:rsidRPr="004D36AE" w:rsidTr="004D36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Нестеров Ефим Александрович</w:t>
            </w:r>
          </w:p>
        </w:tc>
      </w:tr>
      <w:tr w:rsidR="004D36AE" w:rsidRPr="004D36AE" w:rsidTr="004D36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4D36AE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4D36AE" w:rsidRPr="004D36AE" w:rsidTr="004D36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7-42141-91036</w:t>
            </w:r>
          </w:p>
        </w:tc>
      </w:tr>
      <w:tr w:rsidR="004D36AE" w:rsidRPr="004D36AE" w:rsidTr="004D36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4D36AE" w:rsidRPr="004D36AE" w:rsidTr="004D36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4D36AE" w:rsidRPr="004D36AE" w:rsidRDefault="004D36AE" w:rsidP="004D36A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D36A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4D36AE" w:rsidRPr="004D36AE" w:rsidTr="004D36A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11.06.2024 в 09:12</w:t>
            </w:r>
          </w:p>
        </w:tc>
      </w:tr>
      <w:tr w:rsidR="004D36AE" w:rsidRPr="004D36AE" w:rsidTr="004D36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19.06.2024 в 10:00</w:t>
            </w:r>
          </w:p>
        </w:tc>
      </w:tr>
      <w:tr w:rsidR="004D36AE" w:rsidRPr="004D36AE" w:rsidTr="004D36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19.06.2024</w:t>
            </w:r>
          </w:p>
        </w:tc>
      </w:tr>
      <w:tr w:rsidR="004D36AE" w:rsidRPr="004D36AE" w:rsidTr="004D36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21.06.2024</w:t>
            </w:r>
          </w:p>
        </w:tc>
      </w:tr>
      <w:tr w:rsidR="004D36AE" w:rsidRPr="004D36AE" w:rsidTr="004D36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4D36AE" w:rsidRPr="004D36AE" w:rsidRDefault="004D36AE" w:rsidP="004D36A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D36A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4D36AE" w:rsidRPr="004D36AE" w:rsidTr="004D36A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2 000 457,71</w:t>
            </w:r>
          </w:p>
        </w:tc>
      </w:tr>
      <w:tr w:rsidR="004D36AE" w:rsidRPr="004D36AE" w:rsidTr="004D36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4D36AE" w:rsidRPr="004D36AE" w:rsidTr="004D36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083ИЧ4J624220000362</w:t>
            </w:r>
          </w:p>
        </w:tc>
      </w:tr>
      <w:tr w:rsidR="004D36AE" w:rsidRPr="004D36AE" w:rsidTr="004D36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10.06.2024</w:t>
            </w:r>
          </w:p>
        </w:tc>
      </w:tr>
      <w:tr w:rsidR="004D36AE" w:rsidRPr="004D36AE" w:rsidTr="004D36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243270002218727000100100400014221244</w:t>
            </w:r>
          </w:p>
        </w:tc>
      </w:tr>
    </w:tbl>
    <w:p w:rsidR="004D36AE" w:rsidRPr="004D36AE" w:rsidRDefault="004D36AE" w:rsidP="004D36A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D36A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4D36AE" w:rsidRPr="004D36AE" w:rsidTr="004D36A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Товар</w:t>
            </w:r>
          </w:p>
        </w:tc>
      </w:tr>
    </w:tbl>
    <w:p w:rsidR="004D36AE" w:rsidRPr="004D36AE" w:rsidRDefault="004D36AE" w:rsidP="004D36AE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4"/>
        <w:gridCol w:w="2477"/>
        <w:gridCol w:w="1614"/>
        <w:gridCol w:w="1921"/>
        <w:gridCol w:w="1655"/>
        <w:gridCol w:w="1655"/>
        <w:gridCol w:w="1594"/>
      </w:tblGrid>
      <w:tr w:rsidR="004D36AE" w:rsidRPr="004D36AE" w:rsidTr="004D36AE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4D36A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4D36A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4D36A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4D36A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4D36AE" w:rsidRPr="004D36AE" w:rsidTr="004D36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25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4"/>
            </w:tblGrid>
            <w:tr w:rsidR="004D36AE" w:rsidRPr="004D36AE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Приобретение и поставка нормально всасывающий одноступенчатый центробежный насос с сухим ротором блочного типа</w:t>
                  </w:r>
                </w:p>
              </w:tc>
            </w:tr>
            <w:tr w:rsidR="004D36AE" w:rsidRPr="004D36AE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4D36A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Мощность на валу (P2) в наиболее вероятном гидравлическом режиме</w:t>
                  </w: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≤ 11.3 Киловатт (кВт)</w:t>
                  </w: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диапазон значений характеристики</w:t>
                  </w:r>
                </w:p>
              </w:tc>
            </w:tr>
            <w:tr w:rsidR="004D36AE" w:rsidRPr="004D36AE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4D36A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Максимальная температура перекачиваемой жидкости</w:t>
                  </w: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≤ 140 Градус Цельсия (</w:t>
                  </w:r>
                  <w:r w:rsidRPr="004D36AE">
                    <w:rPr>
                      <w:rFonts w:ascii="Cambria Math" w:eastAsia="Times New Roman" w:hAnsi="Cambria Math" w:cs="Cambria Math"/>
                      <w:color w:val="383838"/>
                      <w:sz w:val="18"/>
                      <w:szCs w:val="18"/>
                      <w:lang w:eastAsia="ru-RU"/>
                    </w:rPr>
                    <w:t>⁰</w:t>
                  </w: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С)</w:t>
                  </w: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диапазон значений характеристики</w:t>
                  </w:r>
                </w:p>
              </w:tc>
            </w:tr>
            <w:tr w:rsidR="004D36AE" w:rsidRPr="004D36AE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4D36A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lastRenderedPageBreak/>
                    <w:t>Расход в точке максимального КПД</w:t>
                  </w: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≥ 70 Кубический метр в час (</w:t>
                  </w:r>
                  <w:proofErr w:type="gramStart"/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</w:t>
                  </w:r>
                  <w:proofErr w:type="gramEnd"/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³/ч)</w:t>
                  </w: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диапазон значений характеристики</w:t>
                  </w:r>
                </w:p>
              </w:tc>
            </w:tr>
          </w:tbl>
          <w:p w:rsidR="004D36AE" w:rsidRPr="004D36AE" w:rsidRDefault="004D36AE" w:rsidP="004D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28.12.13.190</w:t>
            </w:r>
          </w:p>
          <w:p w:rsidR="004D36AE" w:rsidRPr="004D36AE" w:rsidRDefault="004D36AE" w:rsidP="004D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Штука (</w:t>
            </w:r>
            <w:proofErr w:type="spellStart"/>
            <w:proofErr w:type="gramStart"/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376 190,87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1 128 572,61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4D36AE" w:rsidRPr="004D36AE" w:rsidTr="004D36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25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4"/>
            </w:tblGrid>
            <w:tr w:rsidR="004D36AE" w:rsidRPr="004D36AE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Приобретение и поставка нормально всасывающий горизонтальный центробежный насос с сухим ротором блочного типа</w:t>
                  </w:r>
                </w:p>
              </w:tc>
            </w:tr>
            <w:tr w:rsidR="004D36AE" w:rsidRPr="004D36AE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4D36A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Расход в точке максимального КПД</w:t>
                  </w: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≥ 125 Кубический метр в секунду (</w:t>
                  </w:r>
                  <w:proofErr w:type="gramStart"/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</w:t>
                  </w:r>
                  <w:proofErr w:type="gramEnd"/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³/с)</w:t>
                  </w: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диапазон значений характеристики</w:t>
                  </w:r>
                </w:p>
              </w:tc>
            </w:tr>
            <w:tr w:rsidR="004D36AE" w:rsidRPr="004D36AE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4D36A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Максимальная температура перекачиваемой жидкости</w:t>
                  </w: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≤ 140 Градус Цельсия (</w:t>
                  </w:r>
                  <w:r w:rsidRPr="004D36AE">
                    <w:rPr>
                      <w:rFonts w:ascii="Cambria Math" w:eastAsia="Times New Roman" w:hAnsi="Cambria Math" w:cs="Cambria Math"/>
                      <w:color w:val="383838"/>
                      <w:sz w:val="18"/>
                      <w:szCs w:val="18"/>
                      <w:lang w:eastAsia="ru-RU"/>
                    </w:rPr>
                    <w:t>⁰</w:t>
                  </w: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С)</w:t>
                  </w: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диапазон значений характеристики</w:t>
                  </w:r>
                </w:p>
              </w:tc>
            </w:tr>
            <w:tr w:rsidR="004D36AE" w:rsidRPr="004D36AE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4D36A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Мощность на валу (P2) в наиболее вероятном гидравлическом режиме</w:t>
                  </w: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≤ 12.65 Киловатт (кВт)</w:t>
                  </w: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диапазон значений характеристики</w:t>
                  </w:r>
                </w:p>
              </w:tc>
            </w:tr>
          </w:tbl>
          <w:p w:rsidR="004D36AE" w:rsidRPr="004D36AE" w:rsidRDefault="004D36AE" w:rsidP="004D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28.12.13.190</w:t>
            </w:r>
          </w:p>
          <w:p w:rsidR="004D36AE" w:rsidRPr="004D36AE" w:rsidRDefault="004D36AE" w:rsidP="004D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Штука (</w:t>
            </w:r>
            <w:proofErr w:type="spellStart"/>
            <w:proofErr w:type="gramStart"/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86 120,85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86 120,85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4D36AE" w:rsidRPr="004D36AE" w:rsidTr="004D36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25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4"/>
            </w:tblGrid>
            <w:tr w:rsidR="004D36AE" w:rsidRPr="004D36AE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Приобретение и поставка нормально всасывающий горизонтальный многоступенчатый насос блочной конструкции из нержавеющей стали с сухим ротором с резьбовыми подсоединениями</w:t>
                  </w:r>
                </w:p>
              </w:tc>
            </w:tr>
            <w:tr w:rsidR="004D36AE" w:rsidRPr="004D36AE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4D36A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Расход в точке максимального КПД</w:t>
                  </w: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≥ 10.7 Кубический метр в час (</w:t>
                  </w:r>
                  <w:proofErr w:type="gramStart"/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</w:t>
                  </w:r>
                  <w:proofErr w:type="gramEnd"/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³/ч)</w:t>
                  </w: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диапазон значений характеристики</w:t>
                  </w:r>
                </w:p>
              </w:tc>
            </w:tr>
            <w:tr w:rsidR="004D36AE" w:rsidRPr="004D36AE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4D36A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Максимальная температура перекачиваемой жидкости</w:t>
                  </w: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≤ 120 Градус Цельсия (</w:t>
                  </w:r>
                  <w:r w:rsidRPr="004D36AE">
                    <w:rPr>
                      <w:rFonts w:ascii="Cambria Math" w:eastAsia="Times New Roman" w:hAnsi="Cambria Math" w:cs="Cambria Math"/>
                      <w:color w:val="383838"/>
                      <w:sz w:val="18"/>
                      <w:szCs w:val="18"/>
                      <w:lang w:eastAsia="ru-RU"/>
                    </w:rPr>
                    <w:t>⁰</w:t>
                  </w: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С)</w:t>
                  </w: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диапазон значений характеристики</w:t>
                  </w:r>
                </w:p>
              </w:tc>
            </w:tr>
            <w:tr w:rsidR="004D36AE" w:rsidRPr="004D36AE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4D36A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Мощность на валу (P2) в наиболее вероятном гидравлическом режиме</w:t>
                  </w: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≤ 0.68 Киловатт (кВт)</w:t>
                  </w: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диапазон значений характеристики</w:t>
                  </w:r>
                </w:p>
              </w:tc>
            </w:tr>
          </w:tbl>
          <w:p w:rsidR="004D36AE" w:rsidRPr="004D36AE" w:rsidRDefault="004D36AE" w:rsidP="004D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28.12.13.190</w:t>
            </w:r>
          </w:p>
          <w:p w:rsidR="004D36AE" w:rsidRPr="004D36AE" w:rsidRDefault="004D36AE" w:rsidP="004D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Штука (</w:t>
            </w:r>
            <w:proofErr w:type="spellStart"/>
            <w:proofErr w:type="gramStart"/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361 470,61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361 470,61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4D36AE" w:rsidRPr="004D36AE" w:rsidTr="004D36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25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4"/>
            </w:tblGrid>
            <w:tr w:rsidR="004D36AE" w:rsidRPr="004D36AE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Приобретение и поставка запасных частей</w:t>
                  </w:r>
                </w:p>
              </w:tc>
            </w:tr>
            <w:tr w:rsidR="004D36AE" w:rsidRPr="004D36AE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4D36A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Плотность жидкой среды</w:t>
                  </w: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≤ 1100 Килограмм на кубический метр (</w:t>
                  </w:r>
                  <w:proofErr w:type="gramStart"/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кг</w:t>
                  </w:r>
                  <w:proofErr w:type="gramEnd"/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/м³)</w:t>
                  </w: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диапазон значений характеристики</w:t>
                  </w:r>
                </w:p>
              </w:tc>
            </w:tr>
            <w:tr w:rsidR="004D36AE" w:rsidRPr="004D36AE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4D36A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Температура рабочей среды</w:t>
                  </w: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≤ 40 Градус Цельсия (</w:t>
                  </w:r>
                  <w:r w:rsidRPr="004D36AE">
                    <w:rPr>
                      <w:rFonts w:ascii="Cambria Math" w:eastAsia="Times New Roman" w:hAnsi="Cambria Math" w:cs="Cambria Math"/>
                      <w:color w:val="383838"/>
                      <w:sz w:val="18"/>
                      <w:szCs w:val="18"/>
                      <w:lang w:eastAsia="ru-RU"/>
                    </w:rPr>
                    <w:t>⁰</w:t>
                  </w: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С)</w:t>
                  </w: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диапазон значений характеристики</w:t>
                  </w:r>
                </w:p>
              </w:tc>
            </w:tr>
          </w:tbl>
          <w:p w:rsidR="004D36AE" w:rsidRPr="004D36AE" w:rsidRDefault="004D36AE" w:rsidP="004D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28.12.13.190</w:t>
            </w:r>
          </w:p>
          <w:p w:rsidR="004D36AE" w:rsidRPr="004D36AE" w:rsidRDefault="004D36AE" w:rsidP="004D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Штука (</w:t>
            </w:r>
            <w:proofErr w:type="spellStart"/>
            <w:proofErr w:type="gramStart"/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197 756,57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395 513,14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4D36AE" w:rsidRPr="004D36AE" w:rsidTr="004D36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25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4"/>
            </w:tblGrid>
            <w:tr w:rsidR="004D36AE" w:rsidRPr="004D36AE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Приобретение и поставка комплекта торцевого уплотнения</w:t>
                  </w:r>
                </w:p>
              </w:tc>
            </w:tr>
            <w:tr w:rsidR="004D36AE" w:rsidRPr="004D36AE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4D36A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Диапазон температуры</w:t>
                  </w: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≥ 25 и ≤ 120 Градус Цельсия (</w:t>
                  </w:r>
                  <w:r w:rsidRPr="004D36AE">
                    <w:rPr>
                      <w:rFonts w:ascii="Cambria Math" w:eastAsia="Times New Roman" w:hAnsi="Cambria Math" w:cs="Cambria Math"/>
                      <w:color w:val="383838"/>
                      <w:sz w:val="18"/>
                      <w:szCs w:val="18"/>
                      <w:lang w:eastAsia="ru-RU"/>
                    </w:rPr>
                    <w:t>⁰</w:t>
                  </w: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С)</w:t>
                  </w: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диапазон значений характеристики</w:t>
                  </w:r>
                </w:p>
              </w:tc>
            </w:tr>
            <w:tr w:rsidR="004D36AE" w:rsidRPr="004D36AE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4D36A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Разрешено использовать для питьевой воды</w:t>
                  </w: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Обязательное</w:t>
                  </w: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4D36AE" w:rsidRPr="004D36AE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4D36A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Номинальное давление</w:t>
                  </w: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16 Бар (бар)</w:t>
                  </w: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:rsidR="004D36AE" w:rsidRPr="004D36AE" w:rsidRDefault="004D36AE" w:rsidP="004D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28.12.13.190</w:t>
            </w:r>
          </w:p>
          <w:p w:rsidR="004D36AE" w:rsidRPr="004D36AE" w:rsidRDefault="004D36AE" w:rsidP="004D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Штука (</w:t>
            </w:r>
            <w:proofErr w:type="spellStart"/>
            <w:proofErr w:type="gramStart"/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14 390,25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28 780,50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4D36AE" w:rsidRPr="004D36AE" w:rsidTr="004D36AE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2 000 457,71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4D36AE" w:rsidRPr="004D36AE" w:rsidRDefault="004D36AE" w:rsidP="004D36A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D36A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505"/>
      </w:tblGrid>
      <w:tr w:rsidR="004D36AE" w:rsidRPr="004D36AE" w:rsidTr="004D36A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 - 15 %</w:t>
            </w:r>
          </w:p>
        </w:tc>
      </w:tr>
      <w:tr w:rsidR="004D36AE" w:rsidRPr="004D36AE" w:rsidTr="004D36A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4D36AE" w:rsidRPr="004D36A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4D36AE" w:rsidRPr="004D36AE" w:rsidTr="004D36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D36AE" w:rsidRPr="004D36AE" w:rsidRDefault="004D36AE" w:rsidP="004D36A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4D36AE" w:rsidRPr="004D36AE" w:rsidRDefault="004D36AE" w:rsidP="004D36AE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4D36AE" w:rsidRPr="004D36AE" w:rsidRDefault="004D36AE" w:rsidP="004D36A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4D36AE" w:rsidRPr="004D36AE" w:rsidRDefault="004D36AE" w:rsidP="004D36AE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4D36AE" w:rsidRPr="004D36AE" w:rsidTr="004D36A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4D36AE" w:rsidRPr="004D36A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4D36AE" w:rsidRPr="004D36AE" w:rsidTr="004D36A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505"/>
            </w:tblGrid>
            <w:tr w:rsidR="004D36AE" w:rsidRPr="004D36AE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            </w:r>
                </w:p>
              </w:tc>
            </w:tr>
            <w:tr w:rsidR="004D36AE" w:rsidRPr="004D36AE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617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561"/>
                  </w:tblGrid>
                  <w:tr w:rsidR="004D36AE" w:rsidRPr="004D36AE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1617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58"/>
                          <w:gridCol w:w="4848"/>
                          <w:gridCol w:w="3055"/>
                          <w:gridCol w:w="3772"/>
                          <w:gridCol w:w="2337"/>
                        </w:tblGrid>
                        <w:tr w:rsidR="004D36AE" w:rsidRPr="004D36AE" w:rsidTr="004D36AE">
                          <w:trPr>
                            <w:tblHeader/>
                          </w:trPr>
                          <w:tc>
                            <w:tcPr>
                              <w:tcW w:w="1986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4D36AE" w:rsidRPr="004D36AE" w:rsidRDefault="004D36AE" w:rsidP="004D36A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D36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4461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4D36AE" w:rsidRPr="004D36AE" w:rsidRDefault="004D36AE" w:rsidP="004D36A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D36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2811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4D36AE" w:rsidRPr="004D36AE" w:rsidRDefault="004D36AE" w:rsidP="004D36A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D36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Обстоятельства, допускающие исключение из установленных запретов или ограничений</w:t>
                              </w:r>
                            </w:p>
                          </w:tc>
                          <w:tc>
                            <w:tcPr>
                              <w:tcW w:w="3471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4D36AE" w:rsidRPr="004D36AE" w:rsidRDefault="004D36AE" w:rsidP="004D36A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D36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Обоснование невозможности</w:t>
                              </w:r>
                              <w:r w:rsidRPr="004D36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соблюдения запрета,</w:t>
                              </w:r>
                              <w:r w:rsidRPr="004D36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ограничения допуска</w:t>
                              </w:r>
                            </w:p>
                          </w:tc>
                          <w:tc>
                            <w:tcPr>
                              <w:tcW w:w="2151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4D36AE" w:rsidRPr="004D36AE" w:rsidRDefault="004D36AE" w:rsidP="004D36A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D36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4D36AE" w:rsidRPr="004D36AE" w:rsidTr="004D36AE">
                          <w:tc>
                            <w:tcPr>
                              <w:tcW w:w="186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4D36AE" w:rsidRPr="004D36AE" w:rsidRDefault="004D36AE" w:rsidP="004D36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D36AE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Условие допуска</w:t>
                              </w:r>
                            </w:p>
                          </w:tc>
                          <w:tc>
                            <w:tcPr>
                              <w:tcW w:w="43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4D36AE" w:rsidRPr="004D36AE" w:rsidRDefault="004D36AE" w:rsidP="004D36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D36AE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            </w:r>
                            </w:p>
                          </w:tc>
                          <w:tc>
                            <w:tcPr>
                              <w:tcW w:w="26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4D36AE" w:rsidRPr="004D36AE" w:rsidRDefault="004D36AE" w:rsidP="004D36A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33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4D36AE" w:rsidRPr="004D36AE" w:rsidRDefault="004D36AE" w:rsidP="004D36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4D36AE" w:rsidRPr="004D36AE" w:rsidRDefault="004D36AE" w:rsidP="004D36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D36AE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Приказ Минфина России от 4 июня 2018 г. №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участник закупки указывает (декларирует) в заявке наименования страны происхождения товара.</w:t>
                              </w:r>
                            </w:p>
                          </w:tc>
                        </w:tr>
                      </w:tbl>
                      <w:p w:rsidR="004D36AE" w:rsidRPr="004D36AE" w:rsidRDefault="004D36AE" w:rsidP="004D36AE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0"/>
                          <w:jc w:val="center"/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</w:pPr>
                        <w:r w:rsidRPr="004D36AE"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  <w:t>Всего записей: </w:t>
                        </w:r>
                        <w:r w:rsidRPr="004D36AE"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1</w:t>
                        </w:r>
                      </w:p>
                      <w:p w:rsidR="004D36AE" w:rsidRPr="004D36AE" w:rsidRDefault="004D36AE" w:rsidP="004D36AE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0"/>
                          <w:jc w:val="center"/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4D36AE" w:rsidRPr="004D36AE" w:rsidRDefault="004D36AE" w:rsidP="004D3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4D36AE" w:rsidRPr="004D36AE" w:rsidRDefault="004D36AE" w:rsidP="004D36A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D36A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4D36AE" w:rsidRPr="004D36AE" w:rsidTr="004D36A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Хабаровский край, Российская Федерация, 682480, Хабаровский край, Охотский муниципальный округ, рп. Охотск, склад Заказчика (по согласованию)</w:t>
            </w:r>
          </w:p>
        </w:tc>
      </w:tr>
      <w:tr w:rsidR="004D36AE" w:rsidRPr="004D36AE" w:rsidTr="004D36A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:rsidR="004D36AE" w:rsidRPr="004D36AE" w:rsidRDefault="004D36AE" w:rsidP="004D36A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D36A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4D36AE" w:rsidRPr="004D36AE" w:rsidTr="004D36A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gramStart"/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 даты заключения</w:t>
            </w:r>
            <w:proofErr w:type="gramEnd"/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контракта</w:t>
            </w:r>
          </w:p>
        </w:tc>
      </w:tr>
      <w:tr w:rsidR="004D36AE" w:rsidRPr="004D36AE" w:rsidTr="004D36A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10.11.2024</w:t>
            </w:r>
          </w:p>
        </w:tc>
      </w:tr>
      <w:tr w:rsidR="004D36AE" w:rsidRPr="004D36AE" w:rsidTr="004D36A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4D36AE" w:rsidRPr="004D36AE" w:rsidTr="004D36A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4D36AE" w:rsidRPr="004D36AE" w:rsidTr="004D36A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4D36AE" w:rsidRPr="004D36AE" w:rsidTr="004D36A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:rsidR="004D36AE" w:rsidRPr="004D36AE" w:rsidRDefault="004D36AE" w:rsidP="004D36AE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4D36AE" w:rsidRPr="004D36AE" w:rsidTr="004D36AE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81"/>
              <w:gridCol w:w="1423"/>
              <w:gridCol w:w="1423"/>
              <w:gridCol w:w="3306"/>
            </w:tblGrid>
            <w:tr w:rsidR="004D36AE" w:rsidRPr="004D36AE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Сумма на </w:t>
                  </w:r>
                  <w:proofErr w:type="gramStart"/>
                  <w:r w:rsidRPr="004D36A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последующие</w:t>
                  </w:r>
                  <w:proofErr w:type="gramEnd"/>
                  <w:r w:rsidRPr="004D36A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года</w:t>
                  </w:r>
                </w:p>
              </w:tc>
            </w:tr>
            <w:tr w:rsidR="004D36AE" w:rsidRPr="004D36A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2 000 457,71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2 000 457,71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4D36AE" w:rsidRPr="004D36AE" w:rsidTr="004D36AE">
        <w:trPr>
          <w:gridAfter w:val="1"/>
          <w:trHeight w:val="2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4D36AE" w:rsidRPr="004D36AE" w:rsidRDefault="004D36AE" w:rsidP="004D36AE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037"/>
      </w:tblGrid>
      <w:tr w:rsidR="004D36AE" w:rsidRPr="004D36AE" w:rsidTr="004D36AE">
        <w:tc>
          <w:tcPr>
            <w:tcW w:w="273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3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32"/>
              <w:gridCol w:w="1320"/>
              <w:gridCol w:w="1320"/>
              <w:gridCol w:w="1268"/>
              <w:gridCol w:w="1268"/>
              <w:gridCol w:w="1954"/>
            </w:tblGrid>
            <w:tr w:rsidR="004D36AE" w:rsidRPr="004D36AE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4D36A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4D36A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Сумма на </w:t>
                  </w:r>
                  <w:proofErr w:type="gramStart"/>
                  <w:r w:rsidRPr="004D36A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последующие</w:t>
                  </w:r>
                  <w:proofErr w:type="gramEnd"/>
                  <w:r w:rsidRPr="004D36A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года</w:t>
                  </w:r>
                </w:p>
              </w:tc>
            </w:tr>
            <w:tr w:rsidR="004D36AE" w:rsidRPr="004D36A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00205021600005010244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2 000 457,71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2 000 457,71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4D36AE" w:rsidRPr="004D36AE" w:rsidTr="004D36AE">
        <w:trPr>
          <w:gridAfter w:val="1"/>
          <w:trHeight w:val="2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4D36AE" w:rsidRPr="004D36AE" w:rsidRDefault="004D36AE" w:rsidP="004D36A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D36A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6"/>
        <w:gridCol w:w="11214"/>
      </w:tblGrid>
      <w:tr w:rsidR="004D36AE" w:rsidRPr="004D36AE" w:rsidTr="004D36AE">
        <w:trPr>
          <w:gridAfter w:val="1"/>
          <w:wAfter w:w="480" w:type="dxa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4D36AE" w:rsidRPr="004D36AE" w:rsidTr="004D36A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20 004,58  Российский рубль</w:t>
            </w:r>
          </w:p>
        </w:tc>
      </w:tr>
      <w:tr w:rsidR="004D36AE" w:rsidRPr="004D36AE" w:rsidTr="004D36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</w:t>
            </w:r>
            <w:proofErr w:type="gramStart"/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дств в к</w:t>
            </w:r>
            <w:proofErr w:type="gramEnd"/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Порядок внесения денежных средств </w:t>
            </w:r>
            <w:proofErr w:type="gramStart"/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 качестве обеспечения заявки на участие в аукционе в соответствии с частью</w:t>
            </w:r>
            <w:proofErr w:type="gramEnd"/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4D36AE" w:rsidRPr="004D36AE" w:rsidTr="004D36AE">
        <w:tc>
          <w:tcPr>
            <w:tcW w:w="16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4D36AE" w:rsidRPr="004D36AE" w:rsidTr="004D36AE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03100643000000012200,  л/с 04223ИЧ4J60,  БИК 010813050</w:t>
                  </w:r>
                </w:p>
              </w:tc>
            </w:tr>
            <w:tr w:rsidR="004D36AE" w:rsidRPr="004D36AE" w:rsidTr="004D36A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D36AE" w:rsidRPr="004D36AE" w:rsidTr="004D36A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D36AE" w:rsidRPr="004D36AE" w:rsidRDefault="004D36AE" w:rsidP="004D36AE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</w:t>
            </w:r>
            <w:proofErr w:type="gramStart"/>
            <w:r w:rsidRPr="004D36AE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дств в сл</w:t>
            </w:r>
            <w:proofErr w:type="gramEnd"/>
            <w:r w:rsidRPr="004D36AE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4D36AE" w:rsidRPr="004D36AE" w:rsidTr="004D36AE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D36AE" w:rsidRPr="004D36AE" w:rsidTr="004D36AE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D36AE" w:rsidRPr="004D36AE" w:rsidTr="004D36AE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D36AE" w:rsidRPr="004D36AE" w:rsidTr="004D36AE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D36AE" w:rsidRPr="004D36AE" w:rsidTr="004D36AE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D36AE" w:rsidRPr="004D36AE" w:rsidTr="004D36AE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D36AE" w:rsidRPr="004D36AE" w:rsidTr="004D36AE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D36AE" w:rsidRPr="004D36AE" w:rsidTr="004D36AE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D36AE" w:rsidRPr="004D36AE" w:rsidRDefault="004D36AE" w:rsidP="004D3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D36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:rsidR="004D36AE" w:rsidRPr="004D36AE" w:rsidRDefault="004D36AE" w:rsidP="004D36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4D36AE" w:rsidRPr="004D36AE" w:rsidRDefault="004D36AE" w:rsidP="004D36A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D36A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8"/>
        <w:gridCol w:w="9322"/>
      </w:tblGrid>
      <w:tr w:rsidR="004D36AE" w:rsidRPr="004D36AE" w:rsidTr="004D36AE">
        <w:trPr>
          <w:gridAfter w:val="1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</w:tr>
      <w:tr w:rsidR="004D36AE" w:rsidRPr="004D36AE" w:rsidTr="004D36A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100 022,89 Российский рубль</w:t>
            </w:r>
          </w:p>
        </w:tc>
      </w:tr>
      <w:tr w:rsidR="004D36AE" w:rsidRPr="004D36AE" w:rsidTr="004D36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предоставления обеспечения исполнения контракта, требования к обеспечению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предоставления обеспечения исполнения контракта, требования к обеспечению в соответствии с частью 3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Банковское сопровождение контракта (договора) не требуется</w:t>
            </w:r>
          </w:p>
        </w:tc>
      </w:tr>
      <w:tr w:rsidR="004D36AE" w:rsidRPr="004D36AE" w:rsidTr="004D36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p/c 03212643000000012200,  л/с 05223ИЧ4J60,  БИК 010813050</w:t>
            </w:r>
          </w:p>
        </w:tc>
      </w:tr>
      <w:tr w:rsidR="004D36AE" w:rsidRPr="004D36AE" w:rsidTr="004D36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4D36AE" w:rsidRPr="004D36AE" w:rsidTr="004D36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4D36AE" w:rsidRPr="004D36AE" w:rsidRDefault="004D36AE" w:rsidP="004D36A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D36A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4D36AE" w:rsidRPr="004D36AE" w:rsidTr="004D36AE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4D36AE" w:rsidRPr="004D36AE" w:rsidRDefault="004D36AE" w:rsidP="004D36A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D36A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4D36AE" w:rsidRPr="004D36AE" w:rsidTr="004D36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:rsidR="004D36AE" w:rsidRPr="004D36AE" w:rsidRDefault="004D36AE" w:rsidP="004D36A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D36A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4D36AE" w:rsidRPr="004D36AE" w:rsidTr="004D36A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4D36AE" w:rsidRPr="004D36AE" w:rsidTr="004D36A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4D36AE" w:rsidRPr="004D36AE" w:rsidTr="004D36A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4D36AE" w:rsidRPr="004D36AE" w:rsidTr="004D36A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Гарантийный срок на поставляемый Товар должен составлять не менее 24 месяцев </w:t>
            </w:r>
            <w:proofErr w:type="gramStart"/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 даты подписания</w:t>
            </w:r>
            <w:proofErr w:type="gramEnd"/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Заказчиком электронного документа о приемке в ЕИС.</w:t>
            </w:r>
          </w:p>
        </w:tc>
      </w:tr>
    </w:tbl>
    <w:p w:rsidR="004D36AE" w:rsidRPr="004D36AE" w:rsidRDefault="004D36AE" w:rsidP="004D36A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D36A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4D36AE" w:rsidRPr="004D36AE" w:rsidTr="004D36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D36AE" w:rsidRPr="004D36AE" w:rsidRDefault="004D36AE" w:rsidP="004D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D36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C125E3" w:rsidRDefault="004D36AE">
      <w:bookmarkStart w:id="0" w:name="_GoBack"/>
      <w:bookmarkEnd w:id="0"/>
    </w:p>
    <w:sectPr w:rsidR="00C125E3" w:rsidSect="004D36AE">
      <w:pgSz w:w="16838" w:h="11906" w:orient="landscape"/>
      <w:pgMar w:top="720" w:right="111" w:bottom="720" w:left="14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1A4"/>
    <w:multiLevelType w:val="multilevel"/>
    <w:tmpl w:val="1B8C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B55BEA"/>
    <w:multiLevelType w:val="multilevel"/>
    <w:tmpl w:val="BDF2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335E13"/>
    <w:multiLevelType w:val="multilevel"/>
    <w:tmpl w:val="B7E4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4E"/>
    <w:rsid w:val="001C4003"/>
    <w:rsid w:val="004D36AE"/>
    <w:rsid w:val="006A3839"/>
    <w:rsid w:val="007031B1"/>
    <w:rsid w:val="009F6668"/>
    <w:rsid w:val="00D5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56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025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30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812358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8749712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2889705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784361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04159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07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70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5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37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5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0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1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34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977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9282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8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2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32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4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02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19528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2155065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5454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871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9713288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9469337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3974420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1542951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336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277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683104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4573292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401226000038001&amp;position-number=20240122600003800100004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271417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1752</Words>
  <Characters>9992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2</cp:revision>
  <dcterms:created xsi:type="dcterms:W3CDTF">2024-06-10T23:18:00Z</dcterms:created>
  <dcterms:modified xsi:type="dcterms:W3CDTF">2024-06-10T23:21:00Z</dcterms:modified>
</cp:coreProperties>
</file>