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E" w:rsidRPr="009827DB" w:rsidRDefault="001F1C08">
      <w:pPr>
        <w:spacing w:line="240" w:lineRule="exact"/>
        <w:jc w:val="right"/>
        <w:rPr>
          <w:rFonts w:eastAsia="Calibri"/>
          <w:szCs w:val="24"/>
        </w:rPr>
      </w:pPr>
      <w:bookmarkStart w:id="0" w:name="_GoBack"/>
      <w:bookmarkEnd w:id="0"/>
      <w:r w:rsidRPr="009827DB">
        <w:rPr>
          <w:rFonts w:eastAsia="Calibri"/>
          <w:szCs w:val="24"/>
        </w:rPr>
        <w:t xml:space="preserve">Срок приема заключений по результатам проведения независимой </w:t>
      </w:r>
    </w:p>
    <w:p w:rsidR="009B19CE" w:rsidRPr="009827DB" w:rsidRDefault="001F1C08">
      <w:pPr>
        <w:spacing w:line="240" w:lineRule="exact"/>
        <w:jc w:val="right"/>
        <w:rPr>
          <w:rFonts w:eastAsia="Calibri"/>
          <w:szCs w:val="24"/>
        </w:rPr>
      </w:pPr>
      <w:r w:rsidRPr="009827DB">
        <w:rPr>
          <w:rFonts w:eastAsia="Calibri"/>
          <w:szCs w:val="24"/>
        </w:rPr>
        <w:t>антикоррупционной экспертизы с 13.0</w:t>
      </w:r>
      <w:r w:rsidR="009827DB" w:rsidRPr="009827DB">
        <w:rPr>
          <w:rFonts w:eastAsia="Calibri"/>
          <w:szCs w:val="24"/>
        </w:rPr>
        <w:t>2</w:t>
      </w:r>
      <w:r w:rsidRPr="009827DB">
        <w:rPr>
          <w:rFonts w:eastAsia="Calibri"/>
          <w:szCs w:val="24"/>
        </w:rPr>
        <w:t>.2025 по 23.0</w:t>
      </w:r>
      <w:r w:rsidR="009827DB" w:rsidRPr="009827DB">
        <w:rPr>
          <w:rFonts w:eastAsia="Calibri"/>
          <w:szCs w:val="24"/>
        </w:rPr>
        <w:t>2</w:t>
      </w:r>
      <w:r w:rsidRPr="009827DB">
        <w:rPr>
          <w:rFonts w:eastAsia="Calibri"/>
          <w:szCs w:val="24"/>
        </w:rPr>
        <w:t>.2025</w:t>
      </w:r>
    </w:p>
    <w:p w:rsidR="009B19CE" w:rsidRPr="009827DB" w:rsidRDefault="009B19CE">
      <w:pPr>
        <w:jc w:val="right"/>
        <w:rPr>
          <w:rFonts w:eastAsia="Calibri"/>
          <w:szCs w:val="24"/>
        </w:rPr>
      </w:pPr>
    </w:p>
    <w:p w:rsidR="009B19CE" w:rsidRPr="009827DB" w:rsidRDefault="001F1C08">
      <w:pPr>
        <w:spacing w:line="240" w:lineRule="exact"/>
        <w:jc w:val="right"/>
        <w:rPr>
          <w:rFonts w:eastAsia="Calibri"/>
          <w:szCs w:val="24"/>
        </w:rPr>
      </w:pPr>
      <w:r w:rsidRPr="009827DB">
        <w:rPr>
          <w:rFonts w:eastAsia="Calibri"/>
          <w:szCs w:val="24"/>
        </w:rPr>
        <w:t>Разработчик: отдел по вопросам безопасности</w:t>
      </w:r>
    </w:p>
    <w:p w:rsidR="009B19CE" w:rsidRDefault="001F1C08">
      <w:pPr>
        <w:spacing w:line="240" w:lineRule="exact"/>
        <w:jc w:val="right"/>
        <w:rPr>
          <w:rFonts w:eastAsia="Calibri"/>
          <w:sz w:val="28"/>
          <w:szCs w:val="28"/>
        </w:rPr>
      </w:pPr>
      <w:r w:rsidRPr="009827DB">
        <w:rPr>
          <w:rFonts w:eastAsia="Calibri"/>
          <w:szCs w:val="24"/>
        </w:rPr>
        <w:t>администрации округа</w:t>
      </w:r>
    </w:p>
    <w:p w:rsidR="009B19CE" w:rsidRDefault="009B19CE">
      <w:pPr>
        <w:shd w:val="clear" w:color="auto" w:fill="FFFFFF"/>
        <w:rPr>
          <w:sz w:val="28"/>
          <w:szCs w:val="28"/>
        </w:rPr>
      </w:pPr>
    </w:p>
    <w:p w:rsidR="009B19CE" w:rsidRDefault="001F1C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7DB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Проект</w:t>
      </w:r>
    </w:p>
    <w:p w:rsidR="009B19CE" w:rsidRDefault="001F1C08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19CE" w:rsidRDefault="001F1C08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19CE" w:rsidRDefault="001F1C08">
      <w:pPr>
        <w:shd w:val="clear" w:color="auto" w:fill="FFFFFF"/>
        <w:tabs>
          <w:tab w:val="left" w:pos="3660"/>
        </w:tabs>
        <w:jc w:val="center"/>
      </w:pPr>
      <w:r>
        <w:rPr>
          <w:sz w:val="28"/>
          <w:szCs w:val="28"/>
        </w:rPr>
        <w:t>Охотского муниципального округа Хабаровского края</w:t>
      </w:r>
    </w:p>
    <w:p w:rsidR="009B19CE" w:rsidRDefault="009B19CE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9B19CE" w:rsidRDefault="001F1C08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9827DB" w:rsidRDefault="009827DB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9B19CE" w:rsidRDefault="001F1C08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Об утверждении П</w:t>
      </w:r>
      <w:r w:rsidR="009827DB">
        <w:rPr>
          <w:sz w:val="28"/>
          <w:szCs w:val="28"/>
        </w:rPr>
        <w:t xml:space="preserve">равил осуществления деятельности по восстановлению пропускной способности русел рек, использования извлеченного данного грунта при угрозе возникновения чрезвычайной ситуации или при возникновении чрезвычайной ситуации </w:t>
      </w:r>
      <w:r w:rsidR="005C37D2">
        <w:rPr>
          <w:sz w:val="28"/>
          <w:szCs w:val="28"/>
        </w:rPr>
        <w:t>на территории Охотского муниципального округа Хабаровского края</w:t>
      </w:r>
    </w:p>
    <w:p w:rsidR="009B19CE" w:rsidRDefault="009B19CE">
      <w:pPr>
        <w:shd w:val="clear" w:color="auto" w:fill="FFFFFF"/>
        <w:rPr>
          <w:sz w:val="28"/>
          <w:szCs w:val="28"/>
        </w:rPr>
      </w:pPr>
    </w:p>
    <w:p w:rsidR="00CA76F8" w:rsidRDefault="00CA76F8">
      <w:pPr>
        <w:shd w:val="clear" w:color="auto" w:fill="FFFFFF"/>
        <w:rPr>
          <w:sz w:val="28"/>
          <w:szCs w:val="28"/>
        </w:rPr>
      </w:pPr>
    </w:p>
    <w:p w:rsidR="009827DB" w:rsidRPr="00021B50" w:rsidRDefault="001F1C08" w:rsidP="009827DB">
      <w:pPr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соответствие </w:t>
      </w:r>
      <w:r w:rsidR="009827DB">
        <w:rPr>
          <w:sz w:val="28"/>
          <w:szCs w:val="28"/>
        </w:rPr>
        <w:t>с постановлением Правительства Российской Федерации от 31 мая 2024 г.</w:t>
      </w:r>
      <w:r w:rsidR="009827DB" w:rsidRPr="009827DB">
        <w:rPr>
          <w:bCs/>
          <w:sz w:val="28"/>
          <w:szCs w:val="28"/>
        </w:rPr>
        <w:t xml:space="preserve"> </w:t>
      </w:r>
      <w:r w:rsidR="009827DB" w:rsidRPr="00021B50">
        <w:rPr>
          <w:bCs/>
          <w:sz w:val="28"/>
          <w:szCs w:val="28"/>
        </w:rPr>
        <w:t>N 732</w:t>
      </w:r>
      <w:r w:rsidR="009827DB">
        <w:rPr>
          <w:sz w:val="28"/>
          <w:szCs w:val="28"/>
        </w:rPr>
        <w:t xml:space="preserve"> </w:t>
      </w:r>
      <w:r w:rsidR="009827DB" w:rsidRPr="009827DB">
        <w:rPr>
          <w:sz w:val="28"/>
          <w:szCs w:val="28"/>
        </w:rPr>
        <w:t>"</w:t>
      </w:r>
      <w:r w:rsidR="009827DB">
        <w:rPr>
          <w:sz w:val="28"/>
          <w:szCs w:val="28"/>
        </w:rPr>
        <w:t>Об утверждении Правил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в соответствии с законодательством в области защиты населения и территорий от чрезвычайных ситуаций</w:t>
      </w:r>
      <w:r w:rsidR="009827DB" w:rsidRPr="009827DB">
        <w:rPr>
          <w:sz w:val="28"/>
          <w:szCs w:val="28"/>
        </w:rPr>
        <w:t>"</w:t>
      </w:r>
      <w:r w:rsidR="009827DB">
        <w:rPr>
          <w:sz w:val="28"/>
          <w:szCs w:val="28"/>
        </w:rPr>
        <w:t>,  со статьей 67 Водного кодекса Российской Федерации, администрация Охотского муниципального округа Хабаровского края</w:t>
      </w:r>
    </w:p>
    <w:p w:rsidR="009B19CE" w:rsidRDefault="001F1C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B19CE" w:rsidRDefault="001F1C0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 </w:t>
      </w:r>
      <w:r w:rsidR="005C37D2" w:rsidRPr="00021B50">
        <w:rPr>
          <w:bCs/>
          <w:sz w:val="28"/>
          <w:szCs w:val="28"/>
        </w:rPr>
        <w:t xml:space="preserve">Утвердить прилагаемые </w:t>
      </w:r>
      <w:hyperlink w:anchor="Par31" w:history="1">
        <w:r w:rsidR="005C37D2" w:rsidRPr="00021B50">
          <w:rPr>
            <w:bCs/>
            <w:sz w:val="28"/>
            <w:szCs w:val="28"/>
          </w:rPr>
          <w:t>Правила</w:t>
        </w:r>
      </w:hyperlink>
      <w:r w:rsidR="005C37D2" w:rsidRPr="00021B50">
        <w:rPr>
          <w:bCs/>
          <w:sz w:val="28"/>
          <w:szCs w:val="28"/>
        </w:rPr>
        <w:t xml:space="preserve">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</w:t>
      </w:r>
      <w:r>
        <w:rPr>
          <w:sz w:val="28"/>
          <w:szCs w:val="28"/>
        </w:rPr>
        <w:t>.</w:t>
      </w:r>
    </w:p>
    <w:p w:rsidR="009B19CE" w:rsidRDefault="001F1C0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  </w:t>
      </w:r>
      <w:r w:rsidR="00CA76F8">
        <w:rPr>
          <w:sz w:val="28"/>
          <w:szCs w:val="28"/>
        </w:rPr>
        <w:t>Опубликовать (обнародовать)</w:t>
      </w:r>
      <w:r w:rsidR="00B50E9D">
        <w:rPr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9B19CE" w:rsidRDefault="005C37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C08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9B19CE" w:rsidRDefault="009B19CE">
      <w:pPr>
        <w:jc w:val="both"/>
        <w:rPr>
          <w:sz w:val="28"/>
          <w:szCs w:val="28"/>
        </w:rPr>
      </w:pPr>
    </w:p>
    <w:p w:rsidR="00315AC6" w:rsidRDefault="00315AC6">
      <w:pPr>
        <w:jc w:val="both"/>
        <w:rPr>
          <w:sz w:val="28"/>
          <w:szCs w:val="28"/>
        </w:rPr>
      </w:pPr>
    </w:p>
    <w:p w:rsidR="00E42DFD" w:rsidRDefault="001F1C08">
      <w:pPr>
        <w:tabs>
          <w:tab w:val="left" w:pos="7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М.А. Климов</w:t>
      </w:r>
    </w:p>
    <w:p w:rsidR="00E42DFD" w:rsidRDefault="00E42DFD">
      <w:pPr>
        <w:tabs>
          <w:tab w:val="left" w:pos="7464"/>
        </w:tabs>
        <w:jc w:val="both"/>
        <w:rPr>
          <w:sz w:val="28"/>
          <w:szCs w:val="28"/>
        </w:rPr>
      </w:pPr>
    </w:p>
    <w:p w:rsidR="00E42DFD" w:rsidRDefault="00E42DFD">
      <w:pPr>
        <w:tabs>
          <w:tab w:val="left" w:pos="7464"/>
        </w:tabs>
        <w:jc w:val="both"/>
        <w:rPr>
          <w:sz w:val="28"/>
          <w:szCs w:val="28"/>
        </w:rPr>
        <w:sectPr w:rsidR="00E42DFD" w:rsidSect="00E42DFD">
          <w:headerReference w:type="default" r:id="rId7"/>
          <w:pgSz w:w="11906" w:h="16838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9B19CE" w:rsidRDefault="009B19CE" w:rsidP="00E42DFD">
      <w:pPr>
        <w:suppressAutoHyphens w:val="0"/>
      </w:pPr>
    </w:p>
    <w:p w:rsidR="009B19CE" w:rsidRDefault="00315AC6">
      <w:pPr>
        <w:pStyle w:val="a3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15AC6" w:rsidRDefault="00315AC6">
      <w:pPr>
        <w:pStyle w:val="a3"/>
        <w:ind w:firstLine="5103"/>
        <w:jc w:val="center"/>
        <w:rPr>
          <w:sz w:val="28"/>
          <w:szCs w:val="28"/>
        </w:rPr>
      </w:pPr>
    </w:p>
    <w:p w:rsidR="009B19CE" w:rsidRDefault="001F1C08">
      <w:pPr>
        <w:pStyle w:val="a3"/>
        <w:spacing w:line="240" w:lineRule="exact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4AF1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постановлени</w:t>
      </w:r>
      <w:r w:rsidR="00315AC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9B19CE" w:rsidRDefault="007E4AF1">
      <w:pPr>
        <w:pStyle w:val="a3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1C08">
        <w:rPr>
          <w:sz w:val="28"/>
          <w:szCs w:val="28"/>
        </w:rPr>
        <w:t>Охотского муниципального</w:t>
      </w:r>
    </w:p>
    <w:p w:rsidR="009B19CE" w:rsidRDefault="007E4AF1">
      <w:pPr>
        <w:pStyle w:val="a3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AC6">
        <w:rPr>
          <w:sz w:val="28"/>
          <w:szCs w:val="28"/>
        </w:rPr>
        <w:t>о</w:t>
      </w:r>
      <w:r w:rsidR="001F1C08">
        <w:rPr>
          <w:sz w:val="28"/>
          <w:szCs w:val="28"/>
        </w:rPr>
        <w:t>круга Хабаровского края</w:t>
      </w:r>
    </w:p>
    <w:p w:rsidR="009B19CE" w:rsidRDefault="009B19CE">
      <w:pPr>
        <w:pStyle w:val="a3"/>
        <w:ind w:firstLine="5103"/>
        <w:jc w:val="center"/>
        <w:rPr>
          <w:sz w:val="28"/>
          <w:szCs w:val="28"/>
        </w:rPr>
      </w:pPr>
    </w:p>
    <w:p w:rsidR="009B19CE" w:rsidRDefault="001F1C08">
      <w:pPr>
        <w:pStyle w:val="a3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N </w:t>
      </w:r>
    </w:p>
    <w:p w:rsidR="009B19CE" w:rsidRDefault="009B19CE">
      <w:pPr>
        <w:pStyle w:val="a3"/>
        <w:jc w:val="center"/>
        <w:rPr>
          <w:szCs w:val="24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C37D2">
        <w:rPr>
          <w:b w:val="0"/>
          <w:sz w:val="28"/>
          <w:szCs w:val="28"/>
        </w:rPr>
        <w:t>РАВИЛА</w:t>
      </w:r>
    </w:p>
    <w:p w:rsidR="009B19CE" w:rsidRDefault="005C37D2" w:rsidP="005C37D2">
      <w:pPr>
        <w:shd w:val="clear" w:color="auto" w:fill="FFFFFF"/>
        <w:spacing w:line="240" w:lineRule="exact"/>
        <w:ind w:left="79"/>
        <w:jc w:val="center"/>
        <w:rPr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осуществления деятельности по восстановлению пропускной способности русел рек, использования извлеченного данного грунта при угрозе возникновения чрезвычайной ситуации или при возникновении чрезвычайной ситуации</w:t>
      </w:r>
      <w:r w:rsidR="001F1C08">
        <w:rPr>
          <w:sz w:val="28"/>
          <w:szCs w:val="28"/>
        </w:rPr>
        <w:t xml:space="preserve"> территории Охотского муниципального округа </w:t>
      </w:r>
      <w:r w:rsidR="001F1C08" w:rsidRPr="005C37D2">
        <w:rPr>
          <w:bCs/>
          <w:color w:val="000000"/>
          <w:spacing w:val="9"/>
          <w:sz w:val="28"/>
          <w:szCs w:val="28"/>
        </w:rPr>
        <w:t>Хабаровского края</w:t>
      </w:r>
    </w:p>
    <w:p w:rsidR="005C37D2" w:rsidRDefault="005C37D2">
      <w:pPr>
        <w:shd w:val="clear" w:color="auto" w:fill="FFFFFF"/>
        <w:spacing w:line="274" w:lineRule="exact"/>
        <w:ind w:left="82"/>
        <w:jc w:val="center"/>
        <w:rPr>
          <w:bCs/>
          <w:color w:val="000000"/>
          <w:spacing w:val="9"/>
          <w:sz w:val="28"/>
          <w:szCs w:val="28"/>
        </w:rPr>
      </w:pPr>
    </w:p>
    <w:p w:rsidR="005C37D2" w:rsidRPr="00021B50" w:rsidRDefault="005C37D2" w:rsidP="005C37D2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1. Настоящие Правила определяют порядок осуществления деятельности по восстановлению пропускной способности русел рек,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(далее - угроза возникновения или возникновение чрезвычайной ситуации).</w:t>
      </w:r>
    </w:p>
    <w:p w:rsidR="005C37D2" w:rsidRPr="00021B50" w:rsidRDefault="005C37D2" w:rsidP="005C37D2">
      <w:pPr>
        <w:adjustRightInd w:val="0"/>
        <w:ind w:firstLine="539"/>
        <w:jc w:val="both"/>
        <w:rPr>
          <w:bCs/>
          <w:sz w:val="28"/>
          <w:szCs w:val="28"/>
        </w:rPr>
      </w:pPr>
      <w:bookmarkStart w:id="1" w:name="Par40"/>
      <w:bookmarkEnd w:id="1"/>
      <w:r w:rsidRPr="00021B50">
        <w:rPr>
          <w:bCs/>
          <w:sz w:val="28"/>
          <w:szCs w:val="28"/>
        </w:rPr>
        <w:t xml:space="preserve">2. При получении </w:t>
      </w:r>
      <w:r>
        <w:rPr>
          <w:bCs/>
          <w:sz w:val="28"/>
          <w:szCs w:val="28"/>
        </w:rPr>
        <w:t>администрацией Охотского муниципального округа Хабаровского края (далее – администрация округа, округ)</w:t>
      </w:r>
      <w:r w:rsidRPr="00021B50">
        <w:rPr>
          <w:bCs/>
          <w:sz w:val="28"/>
          <w:szCs w:val="28"/>
        </w:rPr>
        <w:t xml:space="preserve"> информации о возможном опасном природном (гидрометеорологическом) явлении на соответствующей территории от Федеральной службы по гидрометеорологии и мониторингу окружающей среды и (или) ее подведомственных учреждений, а также от федерального органа исполнительной власти, уполномоченного на решение задач в области защиты населения и территорий от чрезвычайных ситуаций, и введении </w:t>
      </w:r>
      <w:r>
        <w:rPr>
          <w:bCs/>
          <w:sz w:val="28"/>
          <w:szCs w:val="28"/>
        </w:rPr>
        <w:t xml:space="preserve">главой округа </w:t>
      </w:r>
      <w:r w:rsidRPr="00021B50">
        <w:rPr>
          <w:bCs/>
          <w:sz w:val="28"/>
          <w:szCs w:val="28"/>
        </w:rPr>
        <w:t xml:space="preserve">для  органов управления и сил единой государственной системы предупреждения и ликвидации чрезвычайных ситуаций режимов повышенной готовности или чрезвычайной ситуации </w:t>
      </w:r>
      <w:r>
        <w:rPr>
          <w:bCs/>
          <w:sz w:val="28"/>
          <w:szCs w:val="28"/>
        </w:rPr>
        <w:t>глава округа</w:t>
      </w:r>
      <w:r w:rsidRPr="00021B50">
        <w:rPr>
          <w:bCs/>
          <w:sz w:val="28"/>
          <w:szCs w:val="28"/>
        </w:rPr>
        <w:t xml:space="preserve"> вправе дать указание о проведении мероприятий на водных объектах при угрозе возникновения или возникновении чрезвычайной ситуации.</w:t>
      </w:r>
    </w:p>
    <w:p w:rsidR="005C37D2" w:rsidRPr="00021B50" w:rsidRDefault="005C37D2" w:rsidP="00DC360D">
      <w:pPr>
        <w:adjustRightInd w:val="0"/>
        <w:ind w:firstLine="539"/>
        <w:jc w:val="both"/>
        <w:rPr>
          <w:bCs/>
          <w:sz w:val="28"/>
          <w:szCs w:val="28"/>
        </w:rPr>
      </w:pPr>
      <w:bookmarkStart w:id="2" w:name="Par41"/>
      <w:bookmarkEnd w:id="2"/>
      <w:r w:rsidRPr="00021B50">
        <w:rPr>
          <w:bCs/>
          <w:sz w:val="28"/>
          <w:szCs w:val="28"/>
        </w:rPr>
        <w:t xml:space="preserve">3. После получения указания </w:t>
      </w:r>
      <w:r w:rsidR="00DC360D">
        <w:rPr>
          <w:bCs/>
          <w:sz w:val="28"/>
          <w:szCs w:val="28"/>
        </w:rPr>
        <w:t>главы округа</w:t>
      </w:r>
      <w:r w:rsidRPr="00021B50">
        <w:rPr>
          <w:bCs/>
          <w:sz w:val="28"/>
          <w:szCs w:val="28"/>
        </w:rPr>
        <w:t xml:space="preserve"> о проведении мероприятий на водных объектах при угрозе возникновения или возникновении чрезвычайной ситуации уполномоченный </w:t>
      </w:r>
      <w:r w:rsidR="00DC360D">
        <w:rPr>
          <w:bCs/>
          <w:sz w:val="28"/>
          <w:szCs w:val="28"/>
        </w:rPr>
        <w:t xml:space="preserve">сотрудник на решение задач в области </w:t>
      </w:r>
      <w:r w:rsidR="00DC360D" w:rsidRPr="00021B50">
        <w:rPr>
          <w:bCs/>
          <w:sz w:val="28"/>
          <w:szCs w:val="28"/>
        </w:rPr>
        <w:t xml:space="preserve">защиты населения и территорий от чрезвычайных ситуаций </w:t>
      </w:r>
      <w:r w:rsidRPr="00021B50">
        <w:rPr>
          <w:bCs/>
          <w:sz w:val="28"/>
          <w:szCs w:val="28"/>
        </w:rPr>
        <w:t xml:space="preserve"> при участии комиссии по предупреждению и ликвидации чрезвычайных ситуаций и обеспечению пожарной безопасности </w:t>
      </w:r>
      <w:r w:rsidR="00DC360D">
        <w:rPr>
          <w:bCs/>
          <w:sz w:val="28"/>
          <w:szCs w:val="28"/>
        </w:rPr>
        <w:t>администрации округа</w:t>
      </w:r>
      <w:r w:rsidRPr="00021B50">
        <w:rPr>
          <w:bCs/>
          <w:sz w:val="28"/>
          <w:szCs w:val="28"/>
        </w:rPr>
        <w:t xml:space="preserve"> в срок не более суток со дня поступления указания:</w:t>
      </w:r>
    </w:p>
    <w:p w:rsidR="005C37D2" w:rsidRPr="00021B50" w:rsidRDefault="005C37D2" w:rsidP="00DC360D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а) определяет:</w:t>
      </w:r>
    </w:p>
    <w:p w:rsidR="005C37D2" w:rsidRPr="00021B50" w:rsidRDefault="005C37D2" w:rsidP="00DC360D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работы по восстановлению пропускной способности русел рек (дноуглубление и спрямление русел рек, расчистка водных объектов), места для их проведения, сроки, силы и средства организаций, привлекаемых для </w:t>
      </w:r>
      <w:r w:rsidRPr="00021B50">
        <w:rPr>
          <w:bCs/>
          <w:sz w:val="28"/>
          <w:szCs w:val="28"/>
        </w:rPr>
        <w:lastRenderedPageBreak/>
        <w:t>выполнения указанных работ;</w:t>
      </w:r>
    </w:p>
    <w:p w:rsidR="005C37D2" w:rsidRPr="00021B50" w:rsidRDefault="005C37D2" w:rsidP="00DC360D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мероприятия по предупреждению или ликвидации чрезвычайных ситуаций с использованием донного грунта (укрепление берегов песчано-гравийной и каменной наброской, возведение временных сооружений инженерной защиты, устройство каналов отвода водных, селевых, оползневых и других масс для защиты объектов, территорий и водозаборов, устройство временных сооружений (дамб), переправ и проходов для экстренной эвакуации), места их проведения, сроки, планируемые объемы извлекаемого донного грунта, места складирования и фактического использования извлеченного донного грунта, силы и средства организаций, привлекаемых для выполнения указанных мероприятий;</w:t>
      </w:r>
    </w:p>
    <w:p w:rsidR="005C37D2" w:rsidRPr="00021B50" w:rsidRDefault="005C37D2" w:rsidP="00DC360D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б) готовит проект решения </w:t>
      </w:r>
      <w:r w:rsidR="00DC360D">
        <w:rPr>
          <w:bCs/>
          <w:sz w:val="28"/>
          <w:szCs w:val="28"/>
        </w:rPr>
        <w:t>главы округа</w:t>
      </w:r>
      <w:r w:rsidRPr="00021B50">
        <w:rPr>
          <w:bCs/>
          <w:sz w:val="28"/>
          <w:szCs w:val="28"/>
        </w:rPr>
        <w:t xml:space="preserve"> о проведении работ по восстановлению пропускной способности русел рек, а также проект решения об использовании донного грунта при угрозе возникновения или возникновении чрезвычайной ситуации (отдельно на каждый случай получения информации, указанной в </w:t>
      </w:r>
      <w:hyperlink w:anchor="Par40" w:history="1">
        <w:r w:rsidRPr="00021B50">
          <w:rPr>
            <w:bCs/>
            <w:sz w:val="28"/>
            <w:szCs w:val="28"/>
          </w:rPr>
          <w:t>пункте 2</w:t>
        </w:r>
      </w:hyperlink>
      <w:r w:rsidRPr="00021B50">
        <w:rPr>
          <w:bCs/>
          <w:sz w:val="28"/>
          <w:szCs w:val="28"/>
        </w:rPr>
        <w:t xml:space="preserve"> настоящих Правил);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в) организует направление</w:t>
      </w:r>
      <w:r w:rsidR="00DC360D">
        <w:rPr>
          <w:bCs/>
          <w:sz w:val="28"/>
          <w:szCs w:val="28"/>
        </w:rPr>
        <w:t xml:space="preserve"> </w:t>
      </w:r>
      <w:r w:rsidRPr="00021B50">
        <w:rPr>
          <w:bCs/>
          <w:sz w:val="28"/>
          <w:szCs w:val="28"/>
        </w:rPr>
        <w:t xml:space="preserve">обращений (в свободной форме) в органы управления (подразделения), указанные в </w:t>
      </w:r>
      <w:hyperlink w:anchor="Par49" w:history="1">
        <w:r w:rsidRPr="00021B50">
          <w:rPr>
            <w:bCs/>
            <w:sz w:val="28"/>
            <w:szCs w:val="28"/>
          </w:rPr>
          <w:t>пунктах 4</w:t>
        </w:r>
      </w:hyperlink>
      <w:r w:rsidRPr="00021B50">
        <w:rPr>
          <w:bCs/>
          <w:sz w:val="28"/>
          <w:szCs w:val="28"/>
        </w:rPr>
        <w:t xml:space="preserve"> - </w:t>
      </w:r>
      <w:hyperlink w:anchor="Par51" w:history="1">
        <w:r w:rsidRPr="00021B50">
          <w:rPr>
            <w:bCs/>
            <w:sz w:val="28"/>
            <w:szCs w:val="28"/>
          </w:rPr>
          <w:t>6</w:t>
        </w:r>
      </w:hyperlink>
      <w:r w:rsidRPr="00021B50">
        <w:rPr>
          <w:bCs/>
          <w:sz w:val="28"/>
          <w:szCs w:val="28"/>
        </w:rPr>
        <w:t xml:space="preserve"> настоящих Правил,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рек;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bookmarkStart w:id="3" w:name="Par49"/>
      <w:bookmarkEnd w:id="3"/>
      <w:r w:rsidRPr="00021B50">
        <w:rPr>
          <w:bCs/>
          <w:sz w:val="28"/>
          <w:szCs w:val="28"/>
        </w:rPr>
        <w:t>4. Проведение работ по восстановлению пропускной способности русел рек согласовывается с соответствующими администрациями бассейнов внутренних водных путей.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5. В случае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 водных объектах, по которым проходит государственная граница Российской Федерации, указанные мероприятия и работы согласовываются с пограничным органом, осуществляющим защиту и охрану государственной границы Российской Федерации на соответствующем участке.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bookmarkStart w:id="4" w:name="Par51"/>
      <w:bookmarkEnd w:id="4"/>
      <w:r w:rsidRPr="00021B50">
        <w:rPr>
          <w:bCs/>
          <w:sz w:val="28"/>
          <w:szCs w:val="28"/>
        </w:rPr>
        <w:t>6. В случае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 водных объектах, предоставленных для обеспечения обороны страны и безопасности государства, указанные мероприятия и работы согласовываются с территориальным органом или уполномоченным подразделением федерального органа исполнительной власти, уполномоченного в области обороны и (или) обеспечения безопасности, осуществляющими деятельность на соответствующем участке.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7. По результатам проведенных мероприятий, предусмотренных </w:t>
      </w:r>
      <w:hyperlink w:anchor="Par41" w:history="1">
        <w:r w:rsidRPr="00021B50">
          <w:rPr>
            <w:bCs/>
            <w:sz w:val="28"/>
            <w:szCs w:val="28"/>
          </w:rPr>
          <w:t>пунктами 3</w:t>
        </w:r>
      </w:hyperlink>
      <w:r w:rsidRPr="00021B50">
        <w:rPr>
          <w:bCs/>
          <w:sz w:val="28"/>
          <w:szCs w:val="28"/>
        </w:rPr>
        <w:t xml:space="preserve"> - </w:t>
      </w:r>
      <w:hyperlink w:anchor="Par51" w:history="1">
        <w:r w:rsidRPr="00021B50">
          <w:rPr>
            <w:bCs/>
            <w:sz w:val="28"/>
            <w:szCs w:val="28"/>
          </w:rPr>
          <w:t>6</w:t>
        </w:r>
      </w:hyperlink>
      <w:r w:rsidRPr="00021B50">
        <w:rPr>
          <w:bCs/>
          <w:sz w:val="28"/>
          <w:szCs w:val="28"/>
        </w:rPr>
        <w:t xml:space="preserve"> настоящих Правил, </w:t>
      </w:r>
      <w:r w:rsidR="00A84F99">
        <w:rPr>
          <w:bCs/>
          <w:sz w:val="28"/>
          <w:szCs w:val="28"/>
        </w:rPr>
        <w:t xml:space="preserve">администрация округа </w:t>
      </w:r>
      <w:r w:rsidRPr="00021B50">
        <w:rPr>
          <w:bCs/>
          <w:sz w:val="28"/>
          <w:szCs w:val="28"/>
        </w:rPr>
        <w:t>при участии комиссии по предупреждению и ликвидации чрезвычайных ситуаций и обеспечению пожарной безопасности соответствующего уровня принимается решение главы</w:t>
      </w:r>
      <w:r w:rsidR="00A84F99">
        <w:rPr>
          <w:bCs/>
          <w:sz w:val="28"/>
          <w:szCs w:val="28"/>
        </w:rPr>
        <w:t xml:space="preserve"> округа</w:t>
      </w:r>
      <w:r w:rsidRPr="00021B50">
        <w:rPr>
          <w:bCs/>
          <w:sz w:val="28"/>
          <w:szCs w:val="28"/>
        </w:rPr>
        <w:t xml:space="preserve"> о проведении работ по восстановлению пропускной </w:t>
      </w:r>
      <w:r w:rsidRPr="00021B50">
        <w:rPr>
          <w:bCs/>
          <w:sz w:val="28"/>
          <w:szCs w:val="28"/>
        </w:rPr>
        <w:lastRenderedPageBreak/>
        <w:t xml:space="preserve">способности русел рек, а также решение об использовании донного грунта при угрозе возникновения или возникновении чрезвычайной ситуации (принимается отдельно на каждый случай получения информации, указанной в </w:t>
      </w:r>
      <w:hyperlink w:anchor="Par40" w:history="1">
        <w:r w:rsidRPr="00021B50">
          <w:rPr>
            <w:bCs/>
            <w:sz w:val="28"/>
            <w:szCs w:val="28"/>
          </w:rPr>
          <w:t>пункте 2</w:t>
        </w:r>
      </w:hyperlink>
      <w:r w:rsidRPr="00021B50">
        <w:rPr>
          <w:bCs/>
          <w:sz w:val="28"/>
          <w:szCs w:val="28"/>
        </w:rPr>
        <w:t xml:space="preserve"> настоящих Правил) в срок не более 4 суток со дня поступления в</w:t>
      </w:r>
      <w:r w:rsidR="00A84F99">
        <w:rPr>
          <w:bCs/>
          <w:sz w:val="28"/>
          <w:szCs w:val="28"/>
        </w:rPr>
        <w:t xml:space="preserve"> администрацию округа</w:t>
      </w:r>
      <w:r w:rsidRPr="00021B50">
        <w:rPr>
          <w:bCs/>
          <w:sz w:val="28"/>
          <w:szCs w:val="28"/>
        </w:rPr>
        <w:t xml:space="preserve"> информации, предусмотренной </w:t>
      </w:r>
      <w:hyperlink w:anchor="Par40" w:history="1">
        <w:r w:rsidRPr="00021B50">
          <w:rPr>
            <w:bCs/>
            <w:sz w:val="28"/>
            <w:szCs w:val="28"/>
          </w:rPr>
          <w:t>пунктом 2</w:t>
        </w:r>
      </w:hyperlink>
      <w:r w:rsidRPr="00021B50">
        <w:rPr>
          <w:bCs/>
          <w:sz w:val="28"/>
          <w:szCs w:val="28"/>
        </w:rPr>
        <w:t xml:space="preserve"> настоящих Правил.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8. В решении о проведении работ по восстановлению пропускной способности русел рек указываются задачи, виды работ, места для их проведения, ответственные исполнители, сроки, силы и средства организаций </w:t>
      </w:r>
      <w:r w:rsidR="00A84F99">
        <w:rPr>
          <w:bCs/>
          <w:sz w:val="28"/>
          <w:szCs w:val="28"/>
        </w:rPr>
        <w:t>округа</w:t>
      </w:r>
      <w:r w:rsidRPr="00021B50">
        <w:rPr>
          <w:bCs/>
          <w:sz w:val="28"/>
          <w:szCs w:val="28"/>
        </w:rPr>
        <w:t>, привлекаемых для выполнения указанных работ, и другие необходимые мероприятия.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9. Решение о проведении работ по восстановлению пропускной способности русел рек оформляется актом и подписывается главой </w:t>
      </w:r>
      <w:r w:rsidR="00A84F99">
        <w:rPr>
          <w:bCs/>
          <w:sz w:val="28"/>
          <w:szCs w:val="28"/>
        </w:rPr>
        <w:t>округа</w:t>
      </w:r>
      <w:r w:rsidRPr="00021B50">
        <w:rPr>
          <w:bCs/>
          <w:sz w:val="28"/>
          <w:szCs w:val="28"/>
        </w:rPr>
        <w:t>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10. В решении об использовании донного грунта при угрозе возникновения или возникновении чрезвычайной ситуации указываются задачи, мероприятия по предупреждению или ликвидации чрезвычайных ситуаций с использованием донного грунта, места для их проведения с указанием кадастровых номеров земельных участков, сроки проведения работ, объемы (планируемые объемы) извлекаемого донного грунта, места складирования и фактического использования извлеченного донного грунта, силы и средства организаций </w:t>
      </w:r>
      <w:r w:rsidR="00A84F99">
        <w:rPr>
          <w:bCs/>
          <w:sz w:val="28"/>
          <w:szCs w:val="28"/>
        </w:rPr>
        <w:t>округа</w:t>
      </w:r>
      <w:r w:rsidRPr="00021B50">
        <w:rPr>
          <w:bCs/>
          <w:sz w:val="28"/>
          <w:szCs w:val="28"/>
        </w:rPr>
        <w:t>, привлекаемых для выполнения указанных мероприятий, а также лица, ответственные за проведение работ и сохранность донного грунта.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11. Решение об использовании донного грунта при угрозе возникновения или возникновении чрезвычайной ситуации осуществляется с учетом ограничений хозяйственной деятельности, установленных </w:t>
      </w:r>
      <w:hyperlink r:id="rId8" w:history="1">
        <w:r w:rsidRPr="00021B50">
          <w:rPr>
            <w:bCs/>
            <w:sz w:val="28"/>
            <w:szCs w:val="28"/>
          </w:rPr>
          <w:t>статьей 65</w:t>
        </w:r>
      </w:hyperlink>
      <w:r w:rsidRPr="00021B50">
        <w:rPr>
          <w:bCs/>
          <w:sz w:val="28"/>
          <w:szCs w:val="28"/>
        </w:rPr>
        <w:t xml:space="preserve"> Водного кодекса Российской Федерации, оформляется актом, который подписывается </w:t>
      </w:r>
      <w:r w:rsidR="00A84F99">
        <w:rPr>
          <w:bCs/>
          <w:sz w:val="28"/>
          <w:szCs w:val="28"/>
        </w:rPr>
        <w:t xml:space="preserve">главой округа </w:t>
      </w:r>
      <w:r w:rsidRPr="00021B50">
        <w:rPr>
          <w:bCs/>
          <w:sz w:val="28"/>
          <w:szCs w:val="28"/>
        </w:rPr>
        <w:t xml:space="preserve"> и не подлежит продлению после завершения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12. Для принятия решения об использовании донного грунта при угрозе возникновения или возникновении чрезвычайной ситуации </w:t>
      </w:r>
      <w:r w:rsidR="00A84F99">
        <w:rPr>
          <w:bCs/>
          <w:sz w:val="28"/>
          <w:szCs w:val="28"/>
        </w:rPr>
        <w:t xml:space="preserve"> администрация округа</w:t>
      </w:r>
      <w:r w:rsidRPr="00021B50">
        <w:rPr>
          <w:bCs/>
          <w:sz w:val="28"/>
          <w:szCs w:val="28"/>
        </w:rPr>
        <w:t xml:space="preserve"> направляет: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а) обращения (в свободной форме) в органы управления (подразделения), указанные в </w:t>
      </w:r>
      <w:hyperlink w:anchor="Par49" w:history="1">
        <w:r w:rsidRPr="00021B50">
          <w:rPr>
            <w:bCs/>
            <w:sz w:val="28"/>
            <w:szCs w:val="28"/>
          </w:rPr>
          <w:t>пунктах 4</w:t>
        </w:r>
      </w:hyperlink>
      <w:r w:rsidRPr="00021B50">
        <w:rPr>
          <w:bCs/>
          <w:sz w:val="28"/>
          <w:szCs w:val="28"/>
        </w:rPr>
        <w:t xml:space="preserve"> - </w:t>
      </w:r>
      <w:hyperlink w:anchor="Par51" w:history="1">
        <w:r w:rsidRPr="00021B50">
          <w:rPr>
            <w:bCs/>
            <w:sz w:val="28"/>
            <w:szCs w:val="28"/>
          </w:rPr>
          <w:t>6</w:t>
        </w:r>
      </w:hyperlink>
      <w:r w:rsidRPr="00021B50">
        <w:rPr>
          <w:bCs/>
          <w:sz w:val="28"/>
          <w:szCs w:val="28"/>
        </w:rPr>
        <w:t xml:space="preserve"> настоящих Правил,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рек;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>б) заявление в территориальный орган Федерального агентства по недропользованию, в зоне деятельности которого подлежит изъятию донный грунт.</w:t>
      </w:r>
    </w:p>
    <w:p w:rsidR="005C37D2" w:rsidRPr="00021B50" w:rsidRDefault="005C37D2" w:rsidP="00A84F99">
      <w:pPr>
        <w:adjustRightInd w:val="0"/>
        <w:ind w:firstLine="539"/>
        <w:jc w:val="both"/>
        <w:rPr>
          <w:bCs/>
          <w:sz w:val="28"/>
          <w:szCs w:val="28"/>
        </w:rPr>
      </w:pPr>
      <w:bookmarkStart w:id="5" w:name="Par60"/>
      <w:bookmarkEnd w:id="5"/>
      <w:r w:rsidRPr="00021B50">
        <w:rPr>
          <w:bCs/>
          <w:sz w:val="28"/>
          <w:szCs w:val="28"/>
        </w:rPr>
        <w:t xml:space="preserve">13. Обращения </w:t>
      </w:r>
      <w:r w:rsidR="00A84F99">
        <w:rPr>
          <w:bCs/>
          <w:sz w:val="28"/>
          <w:szCs w:val="28"/>
        </w:rPr>
        <w:t>администрации округа</w:t>
      </w:r>
      <w:r w:rsidRPr="00021B50">
        <w:rPr>
          <w:bCs/>
          <w:sz w:val="28"/>
          <w:szCs w:val="28"/>
        </w:rPr>
        <w:t xml:space="preserve"> по согласованию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</w:t>
      </w:r>
      <w:r w:rsidRPr="00021B50">
        <w:rPr>
          <w:bCs/>
          <w:sz w:val="28"/>
          <w:szCs w:val="28"/>
        </w:rPr>
        <w:lastRenderedPageBreak/>
        <w:t xml:space="preserve">пропускной способности русел рек подлежат рассмотрению органами управления (подразделениями), указанными в </w:t>
      </w:r>
      <w:hyperlink w:anchor="Par49" w:history="1">
        <w:r w:rsidRPr="00021B50">
          <w:rPr>
            <w:bCs/>
            <w:sz w:val="28"/>
            <w:szCs w:val="28"/>
          </w:rPr>
          <w:t>пунктах 4</w:t>
        </w:r>
      </w:hyperlink>
      <w:r w:rsidRPr="00021B50">
        <w:rPr>
          <w:bCs/>
          <w:sz w:val="28"/>
          <w:szCs w:val="28"/>
        </w:rPr>
        <w:t xml:space="preserve"> - </w:t>
      </w:r>
      <w:hyperlink w:anchor="Par51" w:history="1">
        <w:r w:rsidRPr="00021B50">
          <w:rPr>
            <w:bCs/>
            <w:sz w:val="28"/>
            <w:szCs w:val="28"/>
          </w:rPr>
          <w:t>6</w:t>
        </w:r>
      </w:hyperlink>
      <w:r w:rsidRPr="00021B50">
        <w:rPr>
          <w:bCs/>
          <w:sz w:val="28"/>
          <w:szCs w:val="28"/>
        </w:rPr>
        <w:t xml:space="preserve"> настоящих Правил.</w:t>
      </w:r>
    </w:p>
    <w:p w:rsidR="005C37D2" w:rsidRPr="00021B50" w:rsidRDefault="005C37D2" w:rsidP="008B4B90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Решение органов управления (подразделений), указанных в </w:t>
      </w:r>
      <w:hyperlink w:anchor="Par49" w:history="1">
        <w:r w:rsidRPr="00021B50">
          <w:rPr>
            <w:bCs/>
            <w:sz w:val="28"/>
            <w:szCs w:val="28"/>
          </w:rPr>
          <w:t>пунктах 4</w:t>
        </w:r>
      </w:hyperlink>
      <w:r w:rsidRPr="00021B50">
        <w:rPr>
          <w:bCs/>
          <w:sz w:val="28"/>
          <w:szCs w:val="28"/>
        </w:rPr>
        <w:t xml:space="preserve"> - </w:t>
      </w:r>
      <w:hyperlink w:anchor="Par51" w:history="1">
        <w:r w:rsidRPr="00021B50">
          <w:rPr>
            <w:bCs/>
            <w:sz w:val="28"/>
            <w:szCs w:val="28"/>
          </w:rPr>
          <w:t>6</w:t>
        </w:r>
      </w:hyperlink>
      <w:r w:rsidRPr="00021B50">
        <w:rPr>
          <w:bCs/>
          <w:sz w:val="28"/>
          <w:szCs w:val="28"/>
        </w:rPr>
        <w:t xml:space="preserve"> настоящих Правил, о согласовании или несогласовании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 направляется письмом на бумажном носителе или в рамках межведомственного информационного взаимодействия в адрес заявителя в срок не более 3 суток со дня поступления соответствующего обращения.</w:t>
      </w:r>
    </w:p>
    <w:p w:rsidR="005C37D2" w:rsidRPr="00021B50" w:rsidRDefault="005C37D2" w:rsidP="008B4B90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14. В случае получения </w:t>
      </w:r>
      <w:r w:rsidR="008B4B90">
        <w:rPr>
          <w:bCs/>
          <w:sz w:val="28"/>
          <w:szCs w:val="28"/>
        </w:rPr>
        <w:t>администрацией округа</w:t>
      </w:r>
      <w:r w:rsidRPr="00021B50">
        <w:rPr>
          <w:bCs/>
          <w:sz w:val="28"/>
          <w:szCs w:val="28"/>
        </w:rPr>
        <w:t xml:space="preserve"> решения, указанного в </w:t>
      </w:r>
      <w:hyperlink w:anchor="Par60" w:history="1">
        <w:r w:rsidRPr="00021B50">
          <w:rPr>
            <w:bCs/>
            <w:sz w:val="28"/>
            <w:szCs w:val="28"/>
          </w:rPr>
          <w:t>пункте 13</w:t>
        </w:r>
      </w:hyperlink>
      <w:r w:rsidRPr="00021B50">
        <w:rPr>
          <w:bCs/>
          <w:sz w:val="28"/>
          <w:szCs w:val="28"/>
        </w:rPr>
        <w:t xml:space="preserve"> настоящих Правил, о несогласовании выполнения мероприятий по предупреждению или ликвидации чрезвычайных ситуаций с использованием донного грунта и (или) проведения работ по восстановлению пропускной способности русел рек, такие мероприятия и (или) работы не проводятся.</w:t>
      </w:r>
    </w:p>
    <w:p w:rsidR="005C37D2" w:rsidRPr="00021B50" w:rsidRDefault="005C37D2" w:rsidP="008B4B90">
      <w:pPr>
        <w:adjustRightInd w:val="0"/>
        <w:ind w:firstLine="539"/>
        <w:jc w:val="both"/>
        <w:rPr>
          <w:bCs/>
          <w:sz w:val="28"/>
          <w:szCs w:val="28"/>
        </w:rPr>
      </w:pPr>
      <w:bookmarkStart w:id="6" w:name="Par63"/>
      <w:bookmarkEnd w:id="6"/>
      <w:r w:rsidRPr="00021B50">
        <w:rPr>
          <w:bCs/>
          <w:sz w:val="28"/>
          <w:szCs w:val="28"/>
        </w:rPr>
        <w:t>15. Заявление подлежит рассмотрению территориальным органом Федерального агентства по недропользованию с последующим направлением заявителю заключения об отсутствии твердых полезных ископаемых, не относящихся к общераспространенным полезным ископаемым, в срок не более 3 суток со дня поступления заявления, в том числе в рамках межведомственного информационного взаимодействия.</w:t>
      </w:r>
    </w:p>
    <w:p w:rsidR="005C37D2" w:rsidRPr="00021B50" w:rsidRDefault="005C37D2" w:rsidP="008B4B90">
      <w:pPr>
        <w:adjustRightInd w:val="0"/>
        <w:ind w:firstLine="539"/>
        <w:jc w:val="both"/>
        <w:rPr>
          <w:bCs/>
          <w:sz w:val="28"/>
          <w:szCs w:val="28"/>
        </w:rPr>
      </w:pPr>
      <w:bookmarkStart w:id="7" w:name="Par64"/>
      <w:bookmarkEnd w:id="7"/>
      <w:r w:rsidRPr="00021B50">
        <w:rPr>
          <w:bCs/>
          <w:sz w:val="28"/>
          <w:szCs w:val="28"/>
        </w:rPr>
        <w:t xml:space="preserve">16. В случае установления факта наличия твердых полезных ископаемых, не относящихся к общераспространенным полезным ископаемым, на участке планируемого изъятия донного грунта территориальный орган Федерального агентства по недропользованию направляет заявителю уведомление об отказе в выдаче заключения об отсутствии твердых полезных ископаемых, не относящихся к общераспространенным полезным ископаемым, в порядке и сроки, которые предусмотрены </w:t>
      </w:r>
      <w:hyperlink w:anchor="Par63" w:history="1">
        <w:r w:rsidRPr="00021B50">
          <w:rPr>
            <w:bCs/>
            <w:sz w:val="28"/>
            <w:szCs w:val="28"/>
          </w:rPr>
          <w:t>пунктом 15</w:t>
        </w:r>
      </w:hyperlink>
      <w:r w:rsidRPr="00021B50">
        <w:rPr>
          <w:bCs/>
          <w:sz w:val="28"/>
          <w:szCs w:val="28"/>
        </w:rPr>
        <w:t xml:space="preserve"> настоящих Правил.</w:t>
      </w:r>
    </w:p>
    <w:p w:rsidR="005C37D2" w:rsidRPr="00021B50" w:rsidRDefault="005C37D2" w:rsidP="008B4B90">
      <w:pPr>
        <w:adjustRightInd w:val="0"/>
        <w:ind w:firstLine="539"/>
        <w:jc w:val="both"/>
        <w:rPr>
          <w:bCs/>
          <w:sz w:val="28"/>
          <w:szCs w:val="28"/>
        </w:rPr>
      </w:pPr>
      <w:r w:rsidRPr="00021B50">
        <w:rPr>
          <w:bCs/>
          <w:sz w:val="28"/>
          <w:szCs w:val="28"/>
        </w:rPr>
        <w:t xml:space="preserve">17. Проведение работ по восстановлению пропускной способности русел рек от донных наносов в случае, указанном в </w:t>
      </w:r>
      <w:hyperlink w:anchor="Par64" w:history="1">
        <w:r w:rsidRPr="00021B50">
          <w:rPr>
            <w:bCs/>
            <w:sz w:val="28"/>
            <w:szCs w:val="28"/>
          </w:rPr>
          <w:t>пункте 16</w:t>
        </w:r>
      </w:hyperlink>
      <w:r w:rsidRPr="00021B50">
        <w:rPr>
          <w:bCs/>
          <w:sz w:val="28"/>
          <w:szCs w:val="28"/>
        </w:rPr>
        <w:t xml:space="preserve"> настоящих Правил, допускается путем механического или гидравлического перемещения таких наносов без изъятия и использования донного грунта.</w:t>
      </w:r>
    </w:p>
    <w:p w:rsidR="005C37D2" w:rsidRPr="00021B50" w:rsidRDefault="005C37D2" w:rsidP="005C37D2">
      <w:pPr>
        <w:adjustRightInd w:val="0"/>
        <w:ind w:firstLine="540"/>
        <w:jc w:val="both"/>
        <w:rPr>
          <w:bCs/>
          <w:sz w:val="28"/>
          <w:szCs w:val="28"/>
        </w:rPr>
      </w:pPr>
    </w:p>
    <w:p w:rsidR="009B19CE" w:rsidRDefault="009B19CE">
      <w:pPr>
        <w:shd w:val="clear" w:color="auto" w:fill="FFFFFF"/>
        <w:jc w:val="center"/>
        <w:rPr>
          <w:b/>
          <w:sz w:val="28"/>
          <w:szCs w:val="28"/>
        </w:rPr>
      </w:pPr>
    </w:p>
    <w:p w:rsidR="009B19CE" w:rsidRDefault="001F1C08" w:rsidP="005C37D2">
      <w:pPr>
        <w:pStyle w:val="a3"/>
        <w:ind w:firstLine="709"/>
        <w:jc w:val="center"/>
      </w:pPr>
      <w:r>
        <w:rPr>
          <w:sz w:val="28"/>
          <w:szCs w:val="28"/>
        </w:rPr>
        <w:t>________________</w:t>
      </w:r>
    </w:p>
    <w:sectPr w:rsidR="009B19CE" w:rsidSect="00B50E9D">
      <w:headerReference w:type="default" r:id="rId9"/>
      <w:headerReference w:type="first" r:id="rId10"/>
      <w:pgSz w:w="11906" w:h="16838"/>
      <w:pgMar w:top="567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46" w:rsidRDefault="00151446">
      <w:r>
        <w:separator/>
      </w:r>
    </w:p>
  </w:endnote>
  <w:endnote w:type="continuationSeparator" w:id="0">
    <w:p w:rsidR="00151446" w:rsidRDefault="0015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46" w:rsidRDefault="00151446">
      <w:r>
        <w:rPr>
          <w:color w:val="000000"/>
        </w:rPr>
        <w:separator/>
      </w:r>
    </w:p>
  </w:footnote>
  <w:footnote w:type="continuationSeparator" w:id="0">
    <w:p w:rsidR="00151446" w:rsidRDefault="0015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189"/>
      <w:docPartObj>
        <w:docPartGallery w:val="Page Numbers (Top of Page)"/>
        <w:docPartUnique/>
      </w:docPartObj>
    </w:sdtPr>
    <w:sdtContent>
      <w:p w:rsidR="00E42DFD" w:rsidRDefault="00751D10">
        <w:pPr>
          <w:pStyle w:val="ad"/>
          <w:jc w:val="center"/>
        </w:pPr>
        <w:fldSimple w:instr=" PAGE   \* MERGEFORMAT ">
          <w:r w:rsidR="005C37D2">
            <w:rPr>
              <w:noProof/>
            </w:rPr>
            <w:t>2</w:t>
          </w:r>
        </w:fldSimple>
      </w:p>
    </w:sdtContent>
  </w:sdt>
  <w:p w:rsidR="00902C43" w:rsidRDefault="00151446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190"/>
      <w:docPartObj>
        <w:docPartGallery w:val="Page Numbers (Top of Page)"/>
        <w:docPartUnique/>
      </w:docPartObj>
    </w:sdtPr>
    <w:sdtContent>
      <w:p w:rsidR="00E42DFD" w:rsidRDefault="00751D10">
        <w:pPr>
          <w:pStyle w:val="ad"/>
          <w:jc w:val="center"/>
        </w:pPr>
        <w:fldSimple w:instr=" PAGE   \* MERGEFORMAT ">
          <w:r w:rsidR="008B4B90">
            <w:rPr>
              <w:noProof/>
            </w:rPr>
            <w:t>4</w:t>
          </w:r>
        </w:fldSimple>
      </w:p>
    </w:sdtContent>
  </w:sdt>
  <w:p w:rsidR="00E42DFD" w:rsidRDefault="00E42DFD">
    <w:pPr>
      <w:pStyle w:val="Standard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FD" w:rsidRDefault="00E42D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1EBD"/>
    <w:multiLevelType w:val="hybridMultilevel"/>
    <w:tmpl w:val="92D0D532"/>
    <w:lvl w:ilvl="0" w:tplc="8492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9CE"/>
    <w:rsid w:val="00151446"/>
    <w:rsid w:val="00194A2B"/>
    <w:rsid w:val="001F1C08"/>
    <w:rsid w:val="002551AD"/>
    <w:rsid w:val="00315AC6"/>
    <w:rsid w:val="00545ECC"/>
    <w:rsid w:val="005C37D2"/>
    <w:rsid w:val="006921D3"/>
    <w:rsid w:val="00751D10"/>
    <w:rsid w:val="007E4AF1"/>
    <w:rsid w:val="008B4B90"/>
    <w:rsid w:val="008D5622"/>
    <w:rsid w:val="00981EFD"/>
    <w:rsid w:val="009827DB"/>
    <w:rsid w:val="009B19CE"/>
    <w:rsid w:val="00A84F99"/>
    <w:rsid w:val="00B50E9D"/>
    <w:rsid w:val="00CA76F8"/>
    <w:rsid w:val="00D40A9A"/>
    <w:rsid w:val="00DC360D"/>
    <w:rsid w:val="00E4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A9A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40A9A"/>
    <w:pPr>
      <w:outlineLvl w:val="0"/>
    </w:pPr>
  </w:style>
  <w:style w:type="paragraph" w:styleId="2">
    <w:name w:val="heading 2"/>
    <w:basedOn w:val="Heading"/>
    <w:rsid w:val="00D40A9A"/>
    <w:pPr>
      <w:outlineLvl w:val="1"/>
    </w:pPr>
  </w:style>
  <w:style w:type="paragraph" w:styleId="3">
    <w:name w:val="heading 3"/>
    <w:basedOn w:val="Heading"/>
    <w:rsid w:val="00D40A9A"/>
    <w:pPr>
      <w:outlineLvl w:val="2"/>
    </w:pPr>
  </w:style>
  <w:style w:type="paragraph" w:styleId="4">
    <w:name w:val="heading 4"/>
    <w:basedOn w:val="Heading"/>
    <w:rsid w:val="00D40A9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0A9A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40A9A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40A9A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40A9A"/>
  </w:style>
  <w:style w:type="paragraph" w:customStyle="1" w:styleId="OEM">
    <w:name w:val="Нормальный (OEM)"/>
    <w:basedOn w:val="Preformatted"/>
    <w:rsid w:val="00D40A9A"/>
  </w:style>
  <w:style w:type="paragraph" w:customStyle="1" w:styleId="a4">
    <w:name w:val="Утратил силу"/>
    <w:basedOn w:val="Standard"/>
    <w:rsid w:val="00D40A9A"/>
    <w:rPr>
      <w:strike/>
      <w:color w:val="666600"/>
    </w:rPr>
  </w:style>
  <w:style w:type="paragraph" w:customStyle="1" w:styleId="Textreference">
    <w:name w:val="Text (reference)"/>
    <w:basedOn w:val="Standard"/>
    <w:rsid w:val="00D40A9A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40A9A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40A9A"/>
    <w:pPr>
      <w:ind w:left="1612" w:hanging="892"/>
    </w:pPr>
  </w:style>
  <w:style w:type="paragraph" w:customStyle="1" w:styleId="a7">
    <w:name w:val="Прижатый влево"/>
    <w:basedOn w:val="Standard"/>
    <w:rsid w:val="00D40A9A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40A9A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40A9A"/>
    <w:pPr>
      <w:ind w:left="139" w:hanging="139"/>
    </w:pPr>
  </w:style>
  <w:style w:type="paragraph" w:customStyle="1" w:styleId="aa">
    <w:name w:val="Информация об изменениях"/>
    <w:basedOn w:val="Standard"/>
    <w:rsid w:val="00D40A9A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40A9A"/>
  </w:style>
  <w:style w:type="paragraph" w:customStyle="1" w:styleId="ac">
    <w:name w:val="Сноска"/>
    <w:basedOn w:val="Standard"/>
    <w:rsid w:val="00D40A9A"/>
    <w:rPr>
      <w:sz w:val="20"/>
    </w:rPr>
  </w:style>
  <w:style w:type="paragraph" w:styleId="ad">
    <w:name w:val="header"/>
    <w:basedOn w:val="a"/>
    <w:uiPriority w:val="99"/>
    <w:rsid w:val="00D40A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40A9A"/>
    <w:rPr>
      <w:rFonts w:ascii="Times New Roman" w:hAnsi="Times New Roman"/>
      <w:sz w:val="24"/>
    </w:rPr>
  </w:style>
  <w:style w:type="paragraph" w:styleId="af">
    <w:name w:val="footer"/>
    <w:basedOn w:val="a"/>
    <w:rsid w:val="00D40A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40A9A"/>
    <w:rPr>
      <w:rFonts w:ascii="Times New Roman" w:hAnsi="Times New Roman"/>
      <w:sz w:val="24"/>
    </w:rPr>
  </w:style>
  <w:style w:type="paragraph" w:styleId="af1">
    <w:name w:val="Balloon Text"/>
    <w:basedOn w:val="a"/>
    <w:rsid w:val="00D40A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4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44&amp;dst=10057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ГОЧС</cp:lastModifiedBy>
  <cp:revision>7</cp:revision>
  <cp:lastPrinted>2025-02-12T06:50:00Z</cp:lastPrinted>
  <dcterms:created xsi:type="dcterms:W3CDTF">2025-01-13T05:10:00Z</dcterms:created>
  <dcterms:modified xsi:type="dcterms:W3CDTF">2025-02-12T06:51:00Z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