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49" w:rsidRPr="00323673" w:rsidRDefault="00776D49" w:rsidP="00323673">
      <w:pPr>
        <w:spacing w:before="100" w:beforeAutospacing="1" w:after="100" w:afterAutospacing="1"/>
        <w:jc w:val="center"/>
        <w:rPr>
          <w:rFonts w:eastAsia="Times New Roman" w:cs="Times New Roman"/>
          <w:szCs w:val="28"/>
          <w:lang w:eastAsia="ru-RU"/>
        </w:rPr>
      </w:pPr>
      <w:r w:rsidRPr="00323673">
        <w:rPr>
          <w:rFonts w:eastAsia="Times New Roman" w:cs="Times New Roman"/>
          <w:szCs w:val="28"/>
          <w:lang w:eastAsia="ru-RU"/>
        </w:rPr>
        <w:t>Доклад</w:t>
      </w:r>
    </w:p>
    <w:p w:rsidR="00776D49" w:rsidRPr="00323673" w:rsidRDefault="00776D49" w:rsidP="00323673">
      <w:pPr>
        <w:spacing w:before="100" w:beforeAutospacing="1" w:after="100" w:afterAutospacing="1"/>
        <w:jc w:val="center"/>
        <w:rPr>
          <w:rFonts w:eastAsia="Times New Roman" w:cs="Times New Roman"/>
          <w:szCs w:val="28"/>
          <w:lang w:eastAsia="ru-RU"/>
        </w:rPr>
      </w:pPr>
      <w:r w:rsidRPr="00323673">
        <w:rPr>
          <w:rFonts w:eastAsia="Times New Roman" w:cs="Times New Roman"/>
          <w:szCs w:val="28"/>
          <w:lang w:eastAsia="ru-RU"/>
        </w:rPr>
        <w:t>А.Н. Васильева, главы Охотского муниципального района Хабаровского края</w:t>
      </w:r>
    </w:p>
    <w:p w:rsidR="00776D49" w:rsidRPr="00323673" w:rsidRDefault="00776D49" w:rsidP="00323673">
      <w:pPr>
        <w:spacing w:before="100" w:beforeAutospacing="1" w:after="100" w:afterAutospacing="1"/>
        <w:jc w:val="center"/>
        <w:rPr>
          <w:rFonts w:eastAsia="Times New Roman" w:cs="Times New Roman"/>
          <w:szCs w:val="28"/>
          <w:lang w:eastAsia="ru-RU"/>
        </w:rPr>
      </w:pPr>
      <w:r w:rsidRPr="00323673">
        <w:rPr>
          <w:rFonts w:eastAsia="Times New Roman" w:cs="Times New Roman"/>
          <w:szCs w:val="28"/>
          <w:lang w:eastAsia="ru-RU"/>
        </w:rPr>
        <w:t>«</w:t>
      </w:r>
      <w:r w:rsidR="00323673" w:rsidRPr="00323673">
        <w:rPr>
          <w:rFonts w:eastAsia="Times New Roman" w:cs="Times New Roman"/>
          <w:szCs w:val="28"/>
          <w:lang w:eastAsia="ru-RU"/>
        </w:rPr>
        <w:t>О достигнутых</w:t>
      </w:r>
      <w:r w:rsidRPr="00323673">
        <w:rPr>
          <w:rFonts w:eastAsia="Times New Roman" w:cs="Times New Roman"/>
          <w:szCs w:val="28"/>
          <w:lang w:eastAsia="ru-RU"/>
        </w:rPr>
        <w:t xml:space="preserve"> значениях показателей для оценки эффективности деятельности органов местного самоуправления городских округов и мун</w:t>
      </w:r>
      <w:bookmarkStart w:id="0" w:name="_GoBack"/>
      <w:bookmarkEnd w:id="0"/>
      <w:r w:rsidRPr="00323673">
        <w:rPr>
          <w:rFonts w:eastAsia="Times New Roman" w:cs="Times New Roman"/>
          <w:szCs w:val="28"/>
          <w:lang w:eastAsia="ru-RU"/>
        </w:rPr>
        <w:t>иципальных районов Хабаровского края за 2011 год и об их планируемых значениях на трехлетний период»</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Настоящий Доклад подготовлен во исполнение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распоряжения Правительства Российской Федерации от 11 сентября 2008 года №1313-р, постановления Правительства Хабаровского края от 29 декабря 2008 года №310-пр «Об обеспечении мониторинга эффективности деятельности органов местного самоуправления городских округов и муниципальных районов Хабаровского края».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Структура и содержание Доклада соответствует инструкции по подготовке доклада главы местной администрации городского округа (муниципального района) субъекта Российской Федерации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 утвержденных,  постановлением Правительства Хабаровского края от 29 декабря 2008 года №310-пр «Об обеспечении мониторинга эффективности деятельности органов местного самоуправления городских округов и муниципальных районов Хабаровского края».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При подготовке Доклада использованы официальные данные Федеральной службы государственной статистики  Хабаровского края и органов местного самоуправления Охотского  муниципального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целях сопоставимости показателей  главы района для расчета динамики, показатели за 2010 год рассчитывались  по методологии, применяемой  к расчету показателей  в 2011 году.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Проанализировав исполнение мероприятий Программы развития района необходимо отметить, что в 2011 году  почти все основные макроэкономические показатели района не уменьшились по сравнению с предыдущим годом.</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xml:space="preserve">                   По итогам работы  за 2011 год оборот крупных и средних организаций в действующих ценах составил 6880,5 млн. руб.  или 101  % к </w:t>
      </w:r>
      <w:r w:rsidRPr="00323673">
        <w:rPr>
          <w:rFonts w:eastAsia="Times New Roman" w:cs="Times New Roman"/>
          <w:szCs w:val="28"/>
          <w:lang w:eastAsia="ru-RU"/>
        </w:rPr>
        <w:lastRenderedPageBreak/>
        <w:t xml:space="preserve">соответствующему периоду прошлого года (6789,4 млн. руб.).  Оборот организаций по основным видам экономической деятельности составил: рыболовство  – 313,4 млн. руб. или 96 % к соответствующему периоду прошлого года; добыча полезных ископаемых – 6204,8 млн. руб. или 102 % к уровню прошлого года;  производство и распределение электрической, тепловой энергии и  воды  – 335,8  млн. руб. или  91 % к соответствующему периоду прошлого года;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Наибольший удельный вес в общем объеме промышленного производства в целом по району составляет объем производства по добыче драгоценных металлов – 90,2 %.Объем производства предприятий рыбной промышленности составляет – 4,6%,  ЖКХ и энергетики – 5,0 % , прочие – 0,2 %.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За текущий год крупными и средними предприятиями перевезено 12176,8 тыс. тонн грузов или 97,1 % к уровню соответствующего периода 2010 года. Грузооборот составил  22757,5 тыс.т.км или 72 % к  2010 году, в том числе на коммерческой основе 53,1 тыс. т.км или в 1,7  раза больше соответствующего показателя прошлого года. Наибольший удельный вес в общем объеме перевозок занимает  перевозка  грузов  золотодобывающим предприятием ОАО «Охотская горно-геологическая компания» (11853,4 тыс. тонн).</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За 2011 год ОАО  ОГГК добыто 2533,4  кг золота в цементате, что составляет  61 %  от  уровня соответствующего периода прошлого года, 72137,7  кг серебра в цементате, что составляет 86,7 % от  уровня соответствующего периода прошлого 2010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Снижение количества  золота в цементате текущего 2011 года по отношению к  прошлому  2010 году обусловлено  более низким  содержанием в руде Хаканджинского месторождения. Снижение объема добычи драгоценных металлов и выпуска готовой продукции в 2011 году по сравнению с 2010 годом, обусловлено планируемым окончанием работ на Центральной рудной зоне - Карьер № 1 месторождения Хаканджинское. Основная добыча драгоценных металлов со 2 квартала 2011 года ведется в Карьере №3 с более низким содержанием золота и серебра в добываемой руде.</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xml:space="preserve">В связи с тем, что  запасы сырья для добычи на открытых горных работах, согласно утвержденным проектам, уже находятся в заключительной стадии на предприятии с целью увеличения сроков «жизнеспособности» месторождений начата работа по освоению запасов подземным способом. С </w:t>
      </w:r>
      <w:r w:rsidRPr="00323673">
        <w:rPr>
          <w:rFonts w:eastAsia="Times New Roman" w:cs="Times New Roman"/>
          <w:szCs w:val="28"/>
          <w:lang w:val="en-US" w:eastAsia="ru-RU"/>
        </w:rPr>
        <w:t>IV</w:t>
      </w:r>
      <w:r w:rsidRPr="00323673">
        <w:rPr>
          <w:rFonts w:eastAsia="Times New Roman" w:cs="Times New Roman"/>
          <w:szCs w:val="28"/>
          <w:lang w:eastAsia="ru-RU"/>
        </w:rPr>
        <w:t xml:space="preserve"> квартала 2011 года  начаты подземные горные работы на месторождении «Хаканджинское».</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xml:space="preserve"> По предварительным оценкам, за   2011 года с разреза "Мареканский" отгружено  34655 тонн угля, что  полностью  закрыло годовую потребность социальной сферы района в местном угле, за счет перераспределения количества мареканского угля в сторону ургальского. </w:t>
      </w:r>
    </w:p>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 xml:space="preserve">Одной из важных отраслей промышленности района является рыбная. В общем объеме промышленного производства доля рыбной отрасли составляет 6,6 %. Наиболее крупными предприятиями рыбной отрасли  района являются: рыболовецкий колхоз им. Ленина, рыболовецкая артель  «Иня», ЗАО «Вострецовская рыболовецкая компания», ОМНС «Усчан», ООО РПК «Кухтуй», ООО «Кухтуй-Фишери».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2011 году добыто рыбы 20,043 тыс. тонн, что составляет 72,5 % от уровня прошлого года. Выделенные квоты в целом по двум путинам освоены на 73,8  %. Основные причины не полного освоения квот на вылов нерестовой сельди лежат в области организации лова.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Что касается лососевой путины, то при освоении квот сказались причины как природного характера, так и производственного.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Из анализа результатов вылова лосося видно, что в основном «виновником» не полного освоения квот стала горбуша, так как данный вид в основной свей массе зашел на нерест в реки соседней Магаданской области. В результате в ходе путины было освоено не более 23% общей квоты.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Освоение других видов лосося, ввиду небольших квот, стало более успешным и в среднем превысило 85%.</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xml:space="preserve">        За  отчетный  2011 год  объем производства электроэнергии в натуральном выражении  предприятиями  района  составил 71,9 млн. кВт/ч. электрической энергии или 102,1% к уровню соответствующего периода 2010 года. Производство тепловой энергии в районе  за текущий период составило    79,5  тыс. Г/кал  или  86,7 % к прошлому году.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Снижение отпуска тепловой энергии  связано со снижением температуры  теплоносителя в тепловых сетях  в соответствии с температурным графиком, рассчитанным от температуры наружного воздуха, которая была в зимние месяцы текущего года выше температурных режимов аналогичного периода прошлого года. По причине снижения  выработки тепловой энергии произошло увеличение потребления электрической энергии, в том числе за счет населения.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В прошлом  году начата работа по значительной реконструкции теплоэнергетического комплекса района. По соглашению с Правительством края и администрацией района функции по предоставлению услуг теплоснабжения и других сопутствующих услуг переданы  ОАО «Теплоэнергосервис».</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В планах компании уже в текущем году запуск в районном центре водовода для снабжения технической и питьевой водой.</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lastRenderedPageBreak/>
        <w:t xml:space="preserve">Важную роль  в экономике  в районе занимает предпринимательство. На территории  Охотского района  состоят на учете 89 субъектов малого и среднего предпринимательства и  145 индивидуальных предпринимателей. Производством хлеба и хлебобулочных изделий, а также  реализацией  продовольственной  группы товаров занимаются только субъекты малого предпринимательства.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Увеличение   в 2011 году объема товарооборота в денежном выражении по сравнению с прошлым годом основано на увеличении стоимости авиаперевозок в зимнее время, что существенно влияет на стоимость таких групп товаров как колбасные изделия, молоко, кисломолочные продукты, яйцо, фрукты, овощи, сыры, кондитерские изделия.</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Оборот розничной торговли торгующих организаций составил в 2011 году 470,6 млн. руб. или  в 1,8 раза  в  фактических  ценах к соответствующему периоду прошлого года. Оборот общественного питания составил  в 2011 году 71,7  млн. руб. или  в 1,4 раза к уровню  фактических  цен  прошлого года.</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Объем платных услуг населению, оказанных через все каналы реализации составил 119,5 млн. руб. или 130,5  % в  сопоставимых   ценах к соответствующему периоду  прошлого  года. Бытовых услуг  населению района предоставлено  в прошлом году на 1809,3 тыс. рублей или на 90 % к соответствующему периоду прошлого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Необходимо отметить, что основными причинами достаточно позитивных результатов экономической деятельности района послужили, во-первых, ориентированность промышленных предприятий района в основном на внутренний рынок, во-вторых, некоторая инерционность районной экономики, что объясняется особенностями географического расположения района и сезонностью приобретения и завоза основной массы грузов, что позволило избежать заметного негативного влияния экономического кризиса.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val="en-US" w:eastAsia="ru-RU"/>
        </w:rPr>
        <w:t>I</w:t>
      </w:r>
      <w:r w:rsidRPr="00323673">
        <w:rPr>
          <w:rFonts w:eastAsia="Times New Roman" w:cs="Times New Roman"/>
          <w:szCs w:val="28"/>
          <w:lang w:eastAsia="ru-RU"/>
        </w:rPr>
        <w:t>.Экономическое развитие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Дорожное хозяйство и транспорт Дорожное хозяйство и транспорт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в муниципальной собственности муниципального района находилось 5 дорог.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капитальный ремонт  автомобильных дорог общего пользования местного значения с твердым покрытием не производился, однако капитальный ремонт запланирован на период до 2014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отремонтированных автомобильных дорог общего пользования местного значения с твердым покрытием, в  отношении которых произведен ремонт, составляет 100% и  планируется остаться  без изменений до 2014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В Охотском районе автомобильные дороги местного значения с твердым покрытием  на техническое обслуживание немуниципальным и (или) негосударственным предприятиям на основе долгосрочных договоров (свыше 3 лет) в 2011 году не передавались. Все обязательства на выполнение работ по содержанию автомобильных дорог местного значения в 2011 году в соответствии с муниципальным контрактом выполняет КГУП «Крайдорпредприятие».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Все автомобильные дороги общего пользования местного значения  отвечают нормативным требованиям.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населения, проживающая в населенных пунктах,  не имеющих регулярное автобусное и (или) железнодорожное сообщение с административным центром района, в общей численности населения муниципального района в 2011 году по сравнению с 2010 годом уменьшилась и составила 31,8 %, в связи с перемещением населения на постоянное место жительства в административный центр района. По этой же причине намечается тенденция в сторону уменьшения  данного показателя на предстоящие 3 года. К 2014 году доля населения, проживающая в населенных пунктах, не имеющих регулярного транспортного сообщения, составит  не более 22 %.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Общий объем расходов бюджета муниципального образования на дорожное хозяйство в 2011 году составил 19 527,1 тыс.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Увеличение расходов за отчетный год, по сравнению с отчетным периодом прошлого года связано с погашением кредиторской задолженности  по расчетам  за выполненные в 2010 году работы.</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Исполнение расходов по  отрасли  «Транспорт» в 2011 году  составило 1 482,1 тысяч рублей.  В  течение 2011 года финансирование осуществлялось на следующие цели: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возмещение недополученных доходов предприятиям при организации транспортного обслуживания населения между поселениями в границах  Охотского муниципального района в сумме 730,0 тыс. рублей (МХ ООО «Энергетик»).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 возмещение недополученных доходов по  отрасли  «Воздушный транспорт» на оплату услуг по перевозке населения малой авиацией между поселениями района в сумме 752,1тыс.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Расходы бюджета на транспорт в 2012 году запланированы в сумме 1800 тыс.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Развитие малого и среднего предпринимательства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В соответствии с частью 1 статьи 15 Закона 94 – ФЗ предусмотрена обязанность муниципальных заказчиков осуществлять размещение заказов  у субъектов малого предпринимательства в размере не менее чем десять  и не более чем двадцать  процентов общего годового объема поставок товаров, выполнения  работ, оказания услуг в соответствии с перечнем, установленным постановлением Правительства Российской Федерации от 17 марта 2009 года № 237. Доля общего объема заказов на  поставку товаров, выполнение работ, оказание услуг для муниципальных нужд у субъектов малого предпринимательства в общем  годовом объеме заказов на поставку товаров, выполнение работ, оказание услуг за 2011 год составила 14,8 %, что ниже  соответствующего периода прошлого года на 1,5 %. На  трехлетний период до 2014 года  планируемые значения составят 16 %.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Создание благоприятных экономических и финансовых условий для предприятий и индивидуальных предпринимателей, в том числе в сфере бытового обслуживания, ограничено возможностями администрации района и администраций поселений. Поэтому в основном работа в данном направлении сводится к ограничению роста арендных ставок и в устранении задержек со стороны муниципалитетов при оформлении каких-либо документов.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 данным налоговой службы в 2010 г. зарегистрировано на территории Охотского муниципального района 276 субъектов малого и среднего предпринимательства, в 2011 г. – 260 субъектов, в 2012 г. – 245 СМП, исходя из прогноза в 2013 г. – 240 субъектов, в 2014 – 230 субъектов.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Численность населения (с учетом итогов всероссийской переписи населения 2010 года) по прогнозным оценкам составляет: на 01.01.2011 – 8093 человек, на 01.01.2012 - 7705, на 01.01.2013 – 7600, на 01.01.2014 – 7300, на 01.01.2015 – 6900 человек.</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Среднесписочная численность работников малых и средних предприятий определена путем экспертной оценки специалистов администрации района (по оперативным данным предприятий).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Расчет субъектов малого и среднего предпринимательства производился исходя  из прогнозной численности населения в расчете на 10000 человек. </w:t>
      </w:r>
    </w:p>
    <w:p w:rsidR="00776D49" w:rsidRPr="00323673" w:rsidRDefault="00776D49" w:rsidP="00323673">
      <w:pPr>
        <w:spacing w:before="100" w:beforeAutospacing="1"/>
        <w:rPr>
          <w:rFonts w:eastAsia="Times New Roman" w:cs="Times New Roman"/>
          <w:szCs w:val="28"/>
          <w:lang w:eastAsia="ru-RU"/>
        </w:rPr>
      </w:pPr>
      <w:r w:rsidRPr="00323673">
        <w:rPr>
          <w:rFonts w:eastAsia="Times New Roman" w:cs="Times New Roman"/>
          <w:szCs w:val="28"/>
          <w:lang w:eastAsia="ru-RU"/>
        </w:rPr>
        <w:t xml:space="preserve">В бюджете Охотского муниципального района  расходы бюджета муниципального образования на развитие и поддержку малого и среднего  предпринимательства утверждены Программой «Развитие малого и среднего предпринимательства в Охотском муниципальном районе на 2010-2012 г.г.», утвержденной решением Собрания депутатов Охотского муниципального района от 21.10.2010 № 46 из районного бюджета запланировано на проведение мероприятий к профессиональному празднику </w:t>
      </w:r>
      <w:r w:rsidRPr="00323673">
        <w:rPr>
          <w:rFonts w:eastAsia="Times New Roman" w:cs="Times New Roman"/>
          <w:szCs w:val="28"/>
          <w:lang w:eastAsia="ru-RU"/>
        </w:rPr>
        <w:lastRenderedPageBreak/>
        <w:t>День российского предпринимательства 5,0 тыс. руб. Данные средства освоены полностью в 2011 году.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Решением Собрания депутатов Охотского муниципального района от 13.10.2011 № 56 «О внесении изменений в программу «Развитие малого и среднего предпринимательства в Охотском муниципальном районе на 2010-2012 годы», утвержденную решением Собрания депутатов Охотского муниципального района Хабаровского края от 21.10.2010 № 46» на 2012 год запланировано из районного бюджета на поддержку субъектов малого предпринимательства 606,5 тыс. руб.</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На 2013 год предварительно запланировано на поддержку малого предпринимательства из районного бюджета 800,0 тыс. руб., на 2014 г. – 1000,0 тыс. руб.</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Расчет на одно малое и среднее предприятие проводился исходя из запланированных финансовых средств и данных налоговых органов за 2010, 2011, 2012 годы и прогнозной численности СМП на 2013 и 2014 годы.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Расчет на одного жителя муниципального образования  проводился исходя из запланированных финансовых средств и прогнозной численности населения по планируемым годам.</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Улучшение инвестиционной привлекательности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Площадь земельных участков, предоставленных для строительства – всего в 2010 году – 9,0 га,  в 2011 году – 0,817 га; прогноз на 2012 год 1,7 га, 2013 год 1,1 га, 2014 год 0,8 га (в соответствии с планом строительства объектов ЖКХ).</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Доля земельных участков в городском округе (муниципальном районе), предоставленных для строительства (кроме жилищного) по результатам торгов, в общей площади земельных участков в городском округе (муниципальном районе), предоставленных для строительства (кроме жилищного). В 2010 г. и 2011 г. земельные участки по результатам торгов не предоставлялись и не планируется предоставляться в дальнейшем, т.к. имеются свободные земельные участки.  Передача земельных участков в аренду без проведения торгов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Доля земельных участков, находящихся в муниципальной собственности, а также государственная собственность на которые не разграничена, право постоянного (бессрочного) пользования которыми переоформлено в соответствии с требованиями Федерального закона «О введении в действие Земельного кодекса РФ», в общем количестве земельных участков, находящихся в муниципальной собственности, а также государственная </w:t>
      </w:r>
      <w:r w:rsidRPr="00323673">
        <w:rPr>
          <w:rFonts w:eastAsia="Times New Roman" w:cs="Times New Roman"/>
          <w:szCs w:val="28"/>
          <w:lang w:eastAsia="ru-RU"/>
        </w:rPr>
        <w:lastRenderedPageBreak/>
        <w:t>собственность на которые не разграничена, право постоянного (бессрочного) пользования на которые подлежит переоформлению – на 01.01.2011 подлежал переоформлению один земельный участок это – земельный участок, используемый Охотской районной типографией под зданием типографии. В 2012 году переоформлено право постоянного бессрочного пользования земельным участком на право аренды.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 составила 0,000025 %.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Средняя продолжительность периода с даты подачи заявки на предоставление земельного участка для строительства до даты принятия решения о предоставлении земельного участка для строительства или подписания протокола о результатах торгов (конкурсов, аукционов составляет 60 дней, при учете того, что данный земельный участок сформирован и стоит на государственном кадастровом учете.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Продолжительность периода с даты подачи заявки на получение разрешения на строительство до получения разрешения на строительство составляет 10 дней – срок определен п. 11 ст. 51 Градостроительного кодекса РФ.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объектов жилищного строительства – в течение 3 лет – нет;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иных объектов капитального строительства в течение – 5 лет – нет.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инвестиции в основной капитал района  составили 537  тыс. рублей или 272,5 процента к  уровню 2010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Объем  инвестиций в основной капитал (за исключением  бюджетных  средств) в расчете на 1 жителя в 2011 году  увеличился  по сравнению с 2010 годом  на  21589,2  рублей и составил 39600,9 рублей. На  планируемый период в реальном секторе экономики  ожидается   незначительное  увеличение   инвестиций на 7,3 % в год.</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Сельское хозяйство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Охотский  район относится к несельскохозяйственным районам: низкая среднегодовая температура, земли, в основном  непригодные для сельского хозяйства, низкий травостой,  высокая себестоимость кормов не позволили сформировать на территории района сельскохозяйственный комплекс.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связи с этим, показатель удельного веса прибыльных сельскохозяйственных организаций  отсутствует.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Земельные  участки под пашнями и сенокосами использовались рыболовецкими колхозами района для развития животноводческой базы. В связи со свёртыванием животноводческой базы, банкротством и закрытием большей части рыболовецких колхозов, земельные участки сельскохозяйственного назначения под пашнями и сенокосами используются только в личных подсобных хозяйствах (сенокос, огород).</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Площадь фактически используемых сельскохозяйственных угодий муниципального района –  это земельные участки под сенокосами и огородами граждан в  2011 году составила 112 га, на 2012 год и последующие годы площадь  изменение площади не планируется.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Общая площадь сельскохозяйственных угодий муниципального района  в 2011 году не изменилась и составила 18467  га.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Доля обрабатываемой пашни в общей площади пашни муниципального района к увеличению не планируется и составляет 30,6 %.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Доходы населения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Охотском муниципальном районе общая численность населения на 01.01.2012 года составила по данным краевой статистики (с учетом результатов Всероссийской переписи населения 2010 года) 7705  человек, что меньше на 388 человек или  на 4,8 %  по сравнению с аналогичным показателем 2010 года (8093 человек). Из общего числа проживающих на территории района, в экономике района занято 5140 человек. Вопрос об обеспеченности занятости населения находится под особым контролем администрации района. По состоянию  на конец  отчетного  периода  на учете в службе занятости  было зарегистрировано  184  человека, что на 14,1 % меньше уровня прошлого года. В качестве безработных в течение года было зарегистрировано 346 человек, что на 18 % меньше аналогичного периода прошлого года. Уровень регистрируемой безработицы  на конец отчетного периода составляет 3,5 %.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Доля граждан, признанных безработными, от общей численности граждан, обратившихся  за содействием в поиске работы за отчетный период составляет </w:t>
      </w:r>
      <w:r w:rsidRPr="00323673">
        <w:rPr>
          <w:rFonts w:eastAsia="Times New Roman" w:cs="Times New Roman"/>
          <w:szCs w:val="28"/>
          <w:lang w:eastAsia="ru-RU"/>
        </w:rPr>
        <w:lastRenderedPageBreak/>
        <w:t>66 %. Уровень трудоустройства ищущих работу граждан обратившихся за содействием в поисках работы в 2011 году составляет 66,1 %, что на  15,2 % выше показателей отчетного периода прошлого 2010 года. Основной причиной, сдерживающей рост трудоустройства безработных граждан, является несоответствие между спросом и предложением рабочей силы. Коэффициент напряженности на рынке труда на конец отчетного периода составляет 5,4 %.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Отношение среднемесячной номинальной начисленной заработной платы работников муниципальных учреждений к номинальной начисленной заработной плате  работников крупных и средних предприятий  и некоммерческих организаций составило за 2011 год 63 %.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2011 году фактический фонд оплаты труда работников бюджетных учреждений  увеличился  по сравнению с 2010 годом. Увеличение расходов связано, прежде всего, с приведением  в соответствие стимулирующих выплат  до 30 %  при новой системе оплаты труда, увеличением расходов  в соответствии с постановлениями  администрации Охотского муниципального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от 29.07.2011 № 293 «Об установлении минимальной заработной платы в муниципальных учреждениях Охотского муниципального района» произошло повышение фонда оплаты труда работникам учреждения на 6,5 %;</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от 13.10.2011 № 417 «Об увеличении минимальной заработной платы в муниципальных учреждениях Охотского муниципального района» с 01 октября;</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от 16.09.2011 № 383 № «Об увеличении фонда оплаты труда учителей муниципальных образовательных учреждений Охотского муниципального района» с 01 сентября на 30% по должности «учитель».</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Среднемесячная номинальная  начисленная заработная плата работников:</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муниципальных дошкольных образовательных  учреждений  в 2011 году составила 15184,5 рублей или на 7,4 % выше соответствующего показателя прошлого года;</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муниципальных общеобразовательных учреждений – 24995,6 рублей или на 34,8 % выше соответствующего показателя прошлого года;</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муниципальных учреждений здравоохранения- 26083,5 или 13,1 % выше соответствующего показателя прошлого года;</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xml:space="preserve">За 2011 год заработная плата в экономическом секторе крупных предприятий района  по  данным  предприятий  составила 35142,1 рублей, что  на 12,1  %, </w:t>
      </w:r>
      <w:r w:rsidRPr="00323673">
        <w:rPr>
          <w:rFonts w:eastAsia="Times New Roman" w:cs="Times New Roman"/>
          <w:szCs w:val="28"/>
          <w:lang w:eastAsia="ru-RU"/>
        </w:rPr>
        <w:lastRenderedPageBreak/>
        <w:t>выше прошлого года. Соотношение среднемесячной начисленной  заработной платы  работников муниципальных учреждений к среднемесячной  начисленной заработной плате работников крупных и средних предприятий сохранится на уровне 2011 года и  составит к 2014 году около 70%.</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II. Здравоохранение и здоровье населения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Структура здравоохранения Охотского муниципального района представлена следующим образом:</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1. МУЗ «Охотская центральная районная больница», с коечным фондом круглосуточного пребывания 77 койка в том числе: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филиал № 1участковая больница с. Вострецово;</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филиал № 2 участковая больница п. Иня;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филиал № 3 участковая больница с.Арка;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филиал № 4 врачебная амбулатория с. Булгин;</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фельдшерско-акушерский пункт с. Резиденция;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фельдшерско-акушерский пункт Морской;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фельдшерско-акушерский пункт Аэропорт;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фельдшерско-акушерский пункт Новое Устье;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фельдшерско-акушерский пункт Иня.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в отрасли «Здравоохранение» функционировало одно бюджетное учреждение – МУЗ ОЦРБ и одно казенное учреждение – МУЗ ПТД. Муниципальное учреждение здравоохранения Охотский противотуберкулёзный диспансер, с коечным фондом круглосуточного пребывания 25 коек.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Показатель  удовлетворённости населения медицинской помощью в 2011 году составил  38,1 %  из числа опрошенных (по данным  социологического опроса).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Рост удовлетворённости населения медицинской помощью объясняется привлечением  врачей-специалистов и врачей участковой службы.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Показатель  охват населения профилактическими осмотрами на туберкулёз от 18 лет и старше в 2011 году составил 93,6 %, что на 16 % больше в сравнении с 2010 годом. Учитывая труднодоступность отдельных мест проживания, дальнейшее увеличение процента охвата сопряжено с неоправданно высокими финансовыми затратами.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охват населения профилактическими осмотрами на злокачественные образования от 18 лет и старше в 2011 году составил 11,8 %, что составляет 12 % от  уровня  соответствующего периода прошлого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число муниципальных медицинских учреждений, применяющих стандарты оказания медпомощи. В 2011 году два учреждения (МУЗ ОЦРБ и МУЗ ПТД) оказывают медицинскую помощь в соответствии со стандартами медицинской помощи. Пациентам предоставляется объём медицинской помощи в соответствие с Постановлением Правительства Хабаровского края от 31.12.2010 № 389-пр «О территориальной программе государственных гарантий оказания гражданам РФ на территории Хабаровского края бесплатной медицинской помощи на 2010 год» установлены критерии доступности и качества медицинской помощи. С учётом утверждённых критериев, численности населения и плотности проживания рассчитано и утверждено плановое задание.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Показатель число муниципальных медучреждений, переведённых на новую систему оплаты труда, ориентированную на результат. В  2011  году все учреждения здравоохранения  переведены на новую систему оплаты труда, ориентированную на результат. Оплата производится по схеме: «ПРОЛЕЧЕНО» - «ЗАРАБОТАНО» - «ВЫПЛАЧЕНО».</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В итоге, с 2011 года все учреждения здравоохранения работают на результат выполнения объёмов медпомощи с учётом качества.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числа случаев смерти в возрасте до 65 лет по сравнению с 2010 годом в абсолютных числах и в расчете на показатель  имеет существенные отклонения в сторону улучшения (практически в два раза). Так в 2010 году число случаев в расчёте на 100 тыс. населения составило 2052 , в 2011 году – 1276. Результат данных показателей это меры профилактики проводимые в рамках диспансеризации населения, активная работа участковой службы по наблюдению за пациентами на дому.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При анализе показателей смертности на дому от инсульта видны явные ухудшения (в 2010 году  105 случаев на 100 тысяч населения, в 2011 году 116,6 случаев на 100 тысяч населения). Данная тенденция отмечается на фоне негативного влияния следующих факторов: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1.       Образ жизни отдельных слоёв населения приводит к позднему обращению в медицинские учреждения, как правило, по экстренным показаниям.</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2.       Труднодоступность отдельных мест проживания населения не позволяет осуществлять постоянное наблюдение врачей-специалистов.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На фоне ухудшенных показателей следует отметить, что дальнейшее сокращение круглосуточного стационара приведёт к более низким показателям.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Показатель  число случаев смерти детей до 18 лет –  в сравнении с 2010 годом, увеличился в 2 раза. Всего в 2011 году - 4 случая смерти младенца. Данные случаи рассматриваются как чрезвычайное происшествие и произошли в результате множественных врождённых пороков развития и патологических изменений внутриутробного развития по причине асоциального образа жизни будущих матерей.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Показатель число работающих (физических лиц) в учреждениях здравоохранения Охотского муниципального района в расчёте на 10 тыс. населения в 2011 году 327 (абсолютное число 265 человек), в 2010 году  показатель составил 312 (абсолютное число 263 человека).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Число работающих (физических лиц) в абсолютном выражении по сравнению с 2010 годом имеют незначительные отклонения, но в перерасчёте  по численности населения  показатели  2011 года  в сравнении с  предыдущим  годом  имеют тенденцию увеличения. При этом следует отметить, укомплектованность участковой службы. Так увеличился показатель числа врачей-специалистов (2011 год – 38, 2010 год – 36)  и врачей участковой службы (2011 год -10, 2010 – 9),  среднего и младшего медперсонала , персонала специалистов и служащих (2011 год-160, 2010-163).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Следует отметить, что муниципальное учреждение здравоохранения «Охотская центральная районная больница» имеет в своём составе 4 отдалённых филиала (№ 1 «Амбулатория с. Вострецово», № 2 «Участковая больница с.Новая Иня», № 3 «Участковая больница с.АРКА», № 4 «Амбулатория с. Булгин») в которых из-за своей отдалённости сверхнормативно введены должности прочего персонала (повар, буфетчица, завхоз), а также  в целях соблюдения санитарных норм (санитарка не может совмещать работу буфетчицы) и соблюдения трудового законодательства  в части права работника на отдых (повар работает без выходных, поэтому работают двое, согласно графику работы).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В 2011 году произошли изменения штатного расписания в сторону уменьшения на конец года (на начало года 438 на конец года 407) на 31 штатную единицу из них:</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Подразделения ОМС на 31 должностей (на начало 377 на конец 346)</w:t>
      </w:r>
    </w:p>
    <w:p w:rsidR="00776D49" w:rsidRPr="00323673" w:rsidRDefault="00776D49" w:rsidP="00323673">
      <w:pPr>
        <w:spacing w:before="100" w:beforeAutospacing="1" w:after="100" w:afterAutospacing="1"/>
        <w:ind w:left="420"/>
        <w:rPr>
          <w:rFonts w:eastAsia="Times New Roman" w:cs="Times New Roman"/>
          <w:szCs w:val="28"/>
          <w:lang w:eastAsia="ru-RU"/>
        </w:rPr>
      </w:pPr>
      <w:r w:rsidRPr="00323673">
        <w:rPr>
          <w:rFonts w:eastAsia="Times New Roman" w:cs="Times New Roman"/>
          <w:szCs w:val="28"/>
          <w:lang w:eastAsia="ru-RU"/>
        </w:rPr>
        <w:t xml:space="preserve">в том числе: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врачебные должности уменьшение на 1 (не укомплектована должность врача-дерматолога);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должности среднего медицинского персонала на 13 (не занятые ставки  медицинских сестёр поликлиники);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должности младшего персонала на 5 единиц по причине не укомплектованности штата санитарок поликлиники;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руководящие работники на 1 единицу по причине выбытия за пределы района заместителя  главного врача по лечебной и клинико-экспертной работе, и по состоянию на конец года вакансии;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ставки работников из числа прочего персонала на 11 (рабочие, машинистки по стирке белья) не занятые должности на конец отчетного периода.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Показатель среднегодовая  занятость койки в муниципальных  учреждениях здравоохранения с 2010 годом уменьшилась  и составила 326  дней, так как по сравнению с 2010 годом уменьшилась длительность пребывания пациента на койке (с 12 до 11 дней лечения).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Показатель число  коек в муниципальных учреждениях здравоохранения на 10 тыс. человек  расчёте на население уменьшился (с 127 до 126) в связи с уменьшением коечного фонда по сравнению с 2010 годом на 5 коек с 107 коек до 102 коек. Койки работают эффективно.</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Показатель фактическая стоимость 1 койко-дня в муниципальных учреждениях здравоохранения  без учёта расходов на оплату труда и начислений  в 2011 году составила 2135 рублей, что на 173 рубля больше по сравнению с 2010 годом. Основная причина роста стоимости связана с ростом тарифов на коммунальные услуги  на 8,5 %.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Показатель фактическая стоимость вызова скорой медицинской помощи без учёта расходов на оплату труда и начислений на оплату труда  в 2011 году составила 74 рубля, что практически в 2 раза превышает показатель 2010 года. В расходах на 1 вызов учтены затраты на медикаменты и связь. Другие расходы отнесены на общие затраты по содержанию  больницы, так как отделение скорой помощи находятся в административном здании больницы.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Показатель  стоимость единицы объёма медицинской помощи за 2011год соответствует нормативным значениям показателей по отрасли «здравоохранение».</w:t>
      </w:r>
    </w:p>
    <w:p w:rsidR="00776D49" w:rsidRPr="00323673" w:rsidRDefault="00776D49" w:rsidP="00323673">
      <w:pPr>
        <w:spacing w:before="100" w:beforeAutospacing="1" w:after="100" w:afterAutospacing="1"/>
        <w:ind w:left="360"/>
        <w:rPr>
          <w:rFonts w:eastAsia="Times New Roman" w:cs="Times New Roman"/>
          <w:szCs w:val="28"/>
          <w:lang w:eastAsia="ru-RU"/>
        </w:rPr>
      </w:pPr>
      <w:r w:rsidRPr="00323673">
        <w:rPr>
          <w:rFonts w:eastAsia="Times New Roman" w:cs="Times New Roman"/>
          <w:szCs w:val="28"/>
          <w:lang w:eastAsia="ru-RU"/>
        </w:rPr>
        <w:t>Показатель  стоимость единицы объёма медицинской помощи.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В связи с ростом затрат на содержание медицинских учреждений в 2011 году по сравнению с 2010 годом возросла стоимость предоставленных  медицинских услуг. Следует отметить, что в стоимость включены дорогостоящие расходы по оплате проезда больных (свыше 6 млн. рублей), проезд работников к месту отпуска и обратно.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Расходы по здравоохранению составили 120 993,4 тыс. рублей при плане 133 028,6 тыс. рублей. Исполнение – 91%. Расходы осуществлялись за счет средств местного бюджета в сумме 77 184,1 тыс. рублей, за счет субвенций и иных межбюджетных трансфертов из краевого бюджета в сумме 43 809,3 тыс. рублей. Расходы по здравоохранению в отчетном году  превысили исполнение по расходам в 2010 году на 19 590,4 тыс. рублей или на 19,3%. Увеличение расходов связано с осуществлением расходов по модернизации по отрасли, погашением кредиторской задолженности.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III. Дошкольное образование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деятельность отдела образования, муниципальных образовательных учреждений всех типов и видов была направлена на выполнение Закона РФ «Об образовании»,  Постановления Губернатора края «О перечне первоочередных мероприятий первого этапа реализации основных положений концепции стабилизации и развития системы общего образования Хабаровского края» и других нормативных документов, регламентирующих функционирование и развитие образовательных учреждений района.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учебном году дошкольные образовательные услуги оказывали 8 муниципальных  дошкольных образовательных учреждений и 2  учреждения для детей  дошкольного и младшего школьного возраста.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«Среднемесячная номинальная начисленная заработная плата» изменяется в сторону увеличения.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Значения показателей за 2010 год  в докладе изменены по причине перерасчета в соответствии с инструкцией и разъяснениями к исчислению данных показателей и данных Росстата: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1) Значение показателя «среднемесячная номинальная  начисленная  заработная плата муниципальных дошкольных </w:t>
      </w:r>
      <w:r w:rsidRPr="00323673">
        <w:rPr>
          <w:rFonts w:eastAsia="Times New Roman" w:cs="Times New Roman"/>
          <w:szCs w:val="28"/>
          <w:lang w:eastAsia="ru-RU"/>
        </w:rPr>
        <w:lastRenderedPageBreak/>
        <w:t>образовательных учреждений» в 2010 году был 16333,2 рублей, при перерасчёте изменён в докладе  и составил за 2010 год - 14131,1 рублей. Причиной изменения стало разъяснение в инструкции по исчислению данного показателя на основании среднемесячного фонда начисленной заработной платы деленную на среднемесячную численность.</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За 2011 год показатель составил 15184,5 рублей, что на 7,45% больше прошлого года. Причиной увеличения  заработной платы по дошкольным и общеобразовательным учреждениям являются: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выплаты стимулирующего характера работникам;</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увеличение стимулирующего фонда на 6,5% с 1 июля;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выплаты компенсационного характера;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установление повышающего коэффициента, повышающего (персонального) коэффициента работникам.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2) Значение показателя «среднемесячная номинальная  начисленная  заработная плата муниципальных общеобразовательных учреждений» в 2010 году был 23756,4 рублей, при перерасчёте изменён в докладе  и составил за 2010 год – 18534,0 рублей. Причиной изменения стало разъяснение по применению инструкции по исчислению данного показателя на основании среднемесячного фонда начисленной заработной платы.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За 2011 год показатель составил 24995,6 рублей, что на 34,86% больше прошлого года.  В общеобразовательных учреждениях увеличение произошло по причине: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повышения фонда оплаты труда учителей с 1 сентября на 30% (повышающий коэффициент по занимаемой  должности «учитель»-1,25);</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увеличения повышающего коэффициента учителям за высшую категорию (от 0,25 до 0,75);</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увеличения 1 июля стимулирующего фонда на 6,5% с.</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3) Для расчёта показателя по отдельным категориям персонала общеобразовательных учреждений  берутся данные статистического отчёта формы ОШ-2 и  значение выводится по формуле. Расчет показателя показывает следующее: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а) значение показателя «среднемесячная номинальная  начисленная  заработная плата учителей муниципальных </w:t>
      </w:r>
      <w:r w:rsidRPr="00323673">
        <w:rPr>
          <w:rFonts w:eastAsia="Times New Roman" w:cs="Times New Roman"/>
          <w:szCs w:val="28"/>
          <w:lang w:eastAsia="ru-RU"/>
        </w:rPr>
        <w:lastRenderedPageBreak/>
        <w:t xml:space="preserve">общеобразовательных учреждений» в 2010 году было 22102,9 рублей, при перерасчёте (данные отчёта формы ОШ-2) составил и изменён в докладе за 2010 год – 32217,2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Значение показателя за 2011 год – 41000,9 рублей, увеличение на 31,3% произошло по причине повышение фонда оплаты труда  учителей (повышающий коэффициент по занимаемой должности «учитель» 1,25), увеличение повышающего коэффициента учителям за высшую категорию (от 0,25 до 0,75), увеличения стимулирующего фонда на 6,5% с 1 июля.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б) значение показателя «среднемесячная номинальная  начисленная  заработная плата прочего персонала муниципальных общеобразовательных учреждений»  в 2010 году было 25598,7 рублей, при перерасчёте (данные отчёта формы ОШ-2) изменён и составил в докладе за 2010 год – 13349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Значение показателя за 2011 год – 15996,39 рублей, увеличение на 58,1%. Причиной увеличения заработной платы являются: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ежемесячные выплаты стимулирующего характера работникам;</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увеличение стимулирующего фонда на 6,5% с 1 июля 2011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выплаты компенсационного характера;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установление повышающего коэффициента, повышающего (персонального) коэффициента работникам.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увеличение должностных окладов руководящим работникам на основании расчётов средней заработной платы основных работников.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Весомой частью заработной платы в данном показателе является заработная плата младшего обслуживающего персонала, зарплата которых составляет в месяц от 6700 рублей до 8200 рублей.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Увеличение среднемесячной номинальной начисленной заработной платы по дошкольным учреждениям планируется в 2012 году в среднем на 27,5% (по причине повышения фонда оплаты труда с 01.02.2012 г. на 30%). В среднем планируемое повышение по отрасли образования в 2013 и 2014 годах на 9,5%.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Удовлетворённость населения качеством дошкольного образования в 2011 году составляет  53,2 %.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Значение показателя «Численность детей в возрасте  от 3 до 7 лет, получающих дошкольную услугу в муниципальных дошкольных образовательных учреждениях» изменяется в сторону увеличения.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Показатель за 2010 год в докладе изменён. В соответствии с инструкцией и разъяснениям к показателю,  без учета численности детей, которым не исполнилось 3 года и исполнилось в отчетный период 7 лет, произведен перерасчет показателя, который составлял в 2010 году - 486 человек. При перерасчёте показателя за 2010 год- 359 чел., а за 2011 год – 388 чел., увеличение численности на 29 человек.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Тенденция к увеличению значения данного показателя обусловлена повышением рождаемости детей в районе. До 2014 года планируемое значение показателя увеличится на 4,4% от отчётного периода.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Негосударственные (немуниципальные) дошкольные образовательные учреждения в Охотском муниципальном районе отсутствуют.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Значение показателя «Численность детей в возрасте  от 3 до 7 лет в муниципальном образовании» - уменьшается за счет общего уменьшения численность детей в районе.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Показатель за 2010 год в докладе изменён. В соответствии с инструкцией и разъяснениям к показателю,  без учета численности детей, которым не исполнилось 3 года и исполнилось в отчетный период 7 лет, произведен перерасчет показателя, который составлял в 2010 году - 819 человек (все дети от  1года до 7 лет включительно).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Таким образом, данный показатель составил за 2010 год  – 466 детей, за 2011 год – 405 детей, по сравнению с прошлым годом уменьшение количества таких детей составило 61 ребёнок. Основная причина - влияние демографического фактора, отток жителей из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 2014 года планируется увеличение численности детей в возрасте от 3 до 7 лет в муниципальном образовании на 3,7% от отчетного периода за счет улучшения демографического фактора – повышения рождаемости детей в районе.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На учёте для определения в  муниципальные дошкольные образовательные учреждения дети не состоят.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Показатель «Коэффициент посещаемости  муниципальных дошкольных образовательных  учреждений» в соответствии с инструкцией и разъяснениям к показателю проведен перерасчет за 2010 год – 0,71 единиц, за 2011 год составил – 0,60 единиц. Количество дней пребывания детей в детских садах недостаточное, вследствие того, что в муниципальном дошкольном </w:t>
      </w:r>
      <w:r w:rsidRPr="00323673">
        <w:rPr>
          <w:rFonts w:eastAsia="Times New Roman" w:cs="Times New Roman"/>
          <w:szCs w:val="28"/>
          <w:lang w:eastAsia="ru-RU"/>
        </w:rPr>
        <w:lastRenderedPageBreak/>
        <w:t xml:space="preserve">образовательном учреждении детском саду общеразвивающего вида № 12 сельского поселения «Поселок Новое Устье» произошла авария системы отопления, учреждение не функционировало более трёх месяцев.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 2014 года планируется увеличение коэффициента посещаемости муниципальных дошкольных образовательных учреждений в среднем на 10% за счет рождаемости детей в районе.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Значение показателя «Количество муниципальных дошкольных образовательных учреждений» составили муниципальные образовательные учреждения, реализующие общеобразовательную программу дошкольного образования (10 единиц):</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8 – МДОУ детские сады;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2 – МОУ  для детей дошкольного и младшего школьного возраста начальные школы-детские сады.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Муниципальные дошкольные образовательные учреждения, здания  которых находятся в аварийном состоянии или требуют капитального ремонта,  отсутствуют.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«Доля лиц с высшим профессиональным  образованием в общей численности  педагогических работников муниципальных дошкольных образовательных учреждений».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2010 году показатель был пересчитан и изменён в докладе в соответствии с инструкцией и данных Росстата и составил за 2010 год – 13,8 %, за 2011 год составил – 15,1 %.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 2014 года тенденция к увеличению показателя в среднем на 15,2% от отчётного периода за счёт планируемых выпускников с высшим образованием и приезда молодых специалистов.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Курсы повышения квалификации в Хабаровском краевом институте развития образования на базе района прошли 8 руководителей и 43 педагога. Всего курсы повышения квалификации имеют 53 педагогических работников МДОУ. Высшее образование среди руководителей МДОУ имеют 2. Всего высшее  образование имеют 8 педагогических работников.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Общий объём расходов бюджета  на дошкольное образование составил в 2010 году – 91042,97 тыс. рублей, в 2011 году- 93313,98 тыс. рублей, что на 2,49% больше соответствующего показателя прошлого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Общий объём расходов бюджета в части бюджетных инвестиций на увеличение стоимости основных средств дошкольного образования в 2010 </w:t>
      </w:r>
      <w:r w:rsidRPr="00323673">
        <w:rPr>
          <w:rFonts w:eastAsia="Times New Roman" w:cs="Times New Roman"/>
          <w:szCs w:val="28"/>
          <w:lang w:eastAsia="ru-RU"/>
        </w:rPr>
        <w:lastRenderedPageBreak/>
        <w:t>году составил 1432,45 тыс. рублей, а в 2011 году - 1599,34 тыс. рублей, или больше на 11,65%, что объясняется обновлением материально-технической базы дошкольных образовательных учреждений. Приобретено следующее оборудование: оргтехника, холодильное оборудование, бытовая техника и  электроприборы, мебель, инвентарь, игрушки.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Общий объём расходов бюджета на дошкольное образование в части расходов на оплату труда и начислений на оплату труда составил в 2010 году- 45391,8 тыс. рублей, а в 2011 году - 46139,09 тыс. рублей, или на 1,65%.</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целом, муниципальные дошкольные образовательные учреждения работают стабильно. В целях улучшения качества образования, развития инновационных процессов в системе дошкольного образования отделом образования разработана Программа «Информатизация системы общего и дополнительного образования на период до 2013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Развитие системы дошкольного образования в дальнейшем будет направлено 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сохранение сети дошкольных образовательных учреждений;</w:t>
      </w:r>
    </w:p>
    <w:p w:rsidR="00776D49" w:rsidRPr="00323673" w:rsidRDefault="00776D49" w:rsidP="00323673">
      <w:pPr>
        <w:spacing w:before="100" w:beforeAutospacing="1" w:after="100" w:afterAutospacing="1"/>
        <w:ind w:left="360"/>
        <w:rPr>
          <w:rFonts w:eastAsia="Times New Roman" w:cs="Times New Roman"/>
          <w:szCs w:val="28"/>
          <w:lang w:eastAsia="ru-RU"/>
        </w:rPr>
      </w:pPr>
      <w:r w:rsidRPr="00323673">
        <w:rPr>
          <w:rFonts w:eastAsia="Times New Roman" w:cs="Times New Roman"/>
          <w:szCs w:val="28"/>
          <w:lang w:eastAsia="ru-RU"/>
        </w:rPr>
        <w:t>   - обновление содержания дошкольного образования;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расширение услуг дошкольного образования для детей с ограниченными возможностями здоровья;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снижение уровня заболеваемости воспитанников МДОУ;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развитие приоритетных направлений в детских садах третьей категории;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сохранение контингента воспитанников в МДОУ;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увеличение охвата детей 6-7 лет подготовкой к школьному обучению.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r w:rsidRPr="00323673">
        <w:rPr>
          <w:rFonts w:eastAsia="Times New Roman" w:cs="Times New Roman"/>
          <w:szCs w:val="28"/>
          <w:lang w:val="en-US" w:eastAsia="ru-RU"/>
        </w:rPr>
        <w:t>IV</w:t>
      </w:r>
      <w:r w:rsidRPr="00323673">
        <w:rPr>
          <w:rFonts w:eastAsia="Times New Roman" w:cs="Times New Roman"/>
          <w:szCs w:val="28"/>
          <w:lang w:eastAsia="ru-RU"/>
        </w:rPr>
        <w:t>. Общее  и  дополнительное образование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Результатом деятельности отдела образования, педагогических коллективов общеобразовательных школ в 2011 году явилось создание условий, обеспечивающих конституционное право граждан на общедоступное и бесплатное общее образование в соответствии с государственными образовательными стандартами. Разработана и реализуется районная комплексная межведомственная программа «Всеобуч».</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 итогам учебного года сохранилась положительная динамика показателей функционирования системы общего и дополнительного образования.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Удовлетворённость населения качеством общего образования в  2011 году составляет  43,9%.</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Удовлетворённость населения качеством дополнительного образования в  2011 году составляет  40,9 %.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составляет в 2011 году - 100%. В 2010 году данный показатель составлял 94%, т.к. 2 ученика окончили школу со справкой.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Численность выпускников муниципальных  общеобразовательных учреждений участвовавших в едином государственном экзамене по русскому языку в 2010 году - 31 человек, а в 2011 году - 59 человек. При расчёте показателя не учитываются выпускники общеобразовательных школ-интернатов и вечерней школы.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Планируемое увеличение численности выпускников муниципальных общеобразовательных учреждений участвовавших в едином государственном экзамене по русскому языку к 2014 году будет достигнуто за счет повышения рождаемости детей в районе.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Численность выпускников муниципальных  общеобразовательных учреждений, участвовавших в едином государственном экзамене по математике - 59. При расчёте показателя не учитываются выпускники общеобразовательных школ- интернатов.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Планируемое увеличение численности выпускников муниципальных общеобразовательных учреждений участвовавших в едином государственном экзамене по математике к 2014 году будет достигнуто за счет повышения рождаемости детей в районе.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Численность выпускников муниципальных  общеобразовательных учреждений, не получивших аттестат о среднем (полном) образовании в 2010 году – 2 человека (окончили обучение со справкой), а за 2011 год – 0 человек.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Численность выпускников муниципальных  общеобразовательных учреждений  за 2010 год – 52, за 2011 год – 59 человек. Причина увеличения - влияние демографического фактора.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 составляет за 2010 год – 6,93 %, в 2011году -  13,83 %.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Причина увеличения в том, что численность учителей в 2011 году, имеющих стаж работы до 2 лет в сельской местности увеличилась по сравнению с прошлым периодом на 5 человек (в 2010 году-2 человека), в городской местности – на 1 человека.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Ежегодно район трудоустраивает молодых специалистов, в т.ч. по целевому направлению района. В 2011 году в район прибыло 4 молодых специалиста, из них – 3 человека, выученных по целевому направлению.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каждом образовательном учреждении, куда приходят специалисты, имеются соответствующие планы, закрепляются наставники, но огромная работа ложится на плечи методистов муниципального методического кабинета при отделе образования.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соответствии с Законом Хабаровского края от 14.11.2011г. № 153 «О наделении органов местного самоуправления Хабаровского края по предоставлению отдельными государственными полномочиями Хабаровского края по предоставлению отдельных гарантий прав граждан в области образования» в настоящее время всем молодым специалистам выплачиваются подъемные в размере 4 должностных окладов, проезд и провоз багажа к месту работы при предъявлении билетов.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Педагогическим работникам выплачивается компенсация за жилищно-коммунальные услуги.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соответствии с имеющимися ресурсами молодые специалисты обеспечиваются жилой площадью.</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соответствии с Законом Хабаровского края от 31.10.2007г. № 147 «О наделении органов местного самоуправления государственными полномочиями Хабаровского края по реализации отдельных направлений приоритетного национального проекта «Образование»» выплачивается вознаграждение за выполнение функций классного руководителя педагогическим работникам, реализующих образовательные программы начального общего, основного общего и среднего (полного) общего образования.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классах с меньшей наполняемостью размер вознаграждения уменьшается пропорционально количеству учащихся с учетом районного коэффициента.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Количество муниципальных общеобразовательных учреждений, расположенных в городской  местности – 2, в том числе: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ОСШ № 1 р.п. Охотск;</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МОУ В(С)ОШ р.п. Охотск.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Количество муниципальных  общеобразовательных учреждений, расположенных в сельской местности - 7, в том числе: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общеобразовательная средняя школа с. Вострецово;</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общеобразовательная средняя школа с. Арка;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общеобразовательная средняя школа с. Булгин;</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общеобразовательная основная школа п. Новое Устье;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общеобразовательная средняя школа п. Новая Иня;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для детей дошкольного и младшего школьного возраста начальная школа - детский сад п. Морской;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МОУ  для детей дошкольного и младшего школьного возраста начальная школа - детский сад п. Иня.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Муниципальные  общеобразовательные учреждения, здания которых находятся в аварийном состоянии или требуют капитального ремонта по отчетным данным в 2011 году составля.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лиц, обучающихся в муниципальных общеобразовательных учреждениях, расположенных в городской местности составила: за 2010 год – 463 человек, а за 2011 год – 461 человек. Таким образом, произошло уменьшение на 205 человек. Значение показателя рассчитано в соответствии с инструкцией и разъяснениям к показателю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Причины отклонения - в 2011 году численность показана без учёта воспитанников школы- интерната.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 2014 года увеличение численности лиц, обучающихся в муниципальных общеобразовательных учреждениях, расположенных в городской местности не планируется из–за сложившейся демографической ситуации в районе (отток жителей из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лиц, обучающихся в муниципальных общеобразовательных учреждениях, расположенных в сельской местности 2010 год – 488 человек, а за 2011 год – 464 человека. Таким образом, произошло уменьшение на 64 человека.  Значение показателя рассчитано в соответствии с инструкцией и разъяснениям к показателю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Причины отклонения - отток жителей из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До 2014 года увеличение численности лиц, обучающихся в муниципальных общеобразовательных учреждениях, расположенных в сельской местности не планируется из-за оттока жителей из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Доля  детей первой и второй групп здоровья в общей численности  обучающихся в муниципальных общеобразовательных учреждениях за 2011 год составила 93,9 % , что больше показателя прошлого года на  15,6 %.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работников муниципальных общеобразовательных учреждений, расположенных в городской местности составила: за 2010 год – 110 человек, а за 2011 год – 101 человек. Таким образом, произошло уменьшение на 9 человек.  Значение показателя рассчитано в соответствии с инструкцией и разъяснениям к показателю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Причиной уменьшения послужило реорганизация в форме присоединения к муниципальному общеобразовательному учреждению средней школе  № 1 р. п.  Охотск муниципальное образовательное учреждение для детей дошкольного и младшего школьного возраста начальная школа - детский сад городского поселения «Рабочий поселок  Охотск».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работников муниципальных общеобразовательных учреждений, расположенных в сельской местности составила: за 2010 год – 241 человек, а за 2011 год – 213 человек. Таким образом, произошло уменьшение на 28 человек.  Значение показателя рассчитано в соответствии с инструкцией и разъяснениям к показателю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Причиной уменьшения численности работников явилось то, что в расчет среднегодовой численности работников за 2010 год (в отчете формы ОШ-2) включены все работники, включая совместителей, а в 2011 году – только основные работники.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Среднегодовая численность учителей муниципальных общеобразовательных учреждений, расположенных в городской местности за 2011 год- 34, в прошлом году 34.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Причина уменьшения - реорганизация в форме присоединения к муниципальному общеобразовательному учреждению средней школе  № 1 р. п.  Охотск муниципальное образовательное учреждение для детей дошкольного и младшего школьного возраста начальная школа - детский сад городского поселения «Рабочий поселок  Охотск».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  Среднегодовая численность учителей муниципальных общеобразовательных учреждений, расположенных в сельской местности за 2011 год -  57, в прошлом году 55.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Причина увеличения – прибытие молодых специалистов.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 муниципальных общеобразовательных учреждений, расположенных в городской местности за 2011 год -  63, в прошлом году 73.</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Причина уменьшения - реорганизация в форме присоединения к муниципальному общеобразовательному учреждению средней школе  № 1 р. п.  Охотск муниципальное образовательное учреждение для детей дошкольного и младшего школьного возраста начальная школа - детский сад городского поселения «Рабочий поселок  Охотск».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 2014 года увеличение численности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 муниципальных общеобразовательных учреждений, расположенных в городской местности не планируется в связи с уменьшением численности населения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Среднегодовая численность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учебный процесс) муниципальных общеобразовательных учреждений, расположенных в сельской местности в 2011 году - 145, в прошлом году - 186.</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Причина уменьшения численности работников явилось то, что в расчет среднегодовой численности работников рассчитан в 2011 году на основании разъяснений министерства образования и науки края на основании отчетов формы ОШ-2 и формы П-4, а в 2010 году только по отчету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Количество классов в муниципальных образовательных учреждениях, расположенных  в городской местности (среднегодовое) в 2011 году- 23, в прошлом году - 30.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Уменьшение классов произошло по причине перевода с 11.01.2011 муниципального общеобразовательного учреждения для детей сирот и детей, оставшихся без попечения родителей, городского поселения «Рабочий поселок Охотск» в краевую собственность (7 классов). Значение показателя рассчитано согласно инструкции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Количество классов в муниципальных образовательных учреждениях, расположенных  в сельской местности (среднегодовое) 51, с прошлым годом, также не изменилось.</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Средняя стоимость содержания  одного класса в муниципальных общеобразовательных учреждениях в муниципальном районе составляет в 2010 году- 580077 рублей, а в 2011 году- 640893 рублей, что на 10,5 % больше.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Основной причиной увеличения данного показателя является  увеличение расходов бюджета (оплату труда и начисления на оплату, увеличение тарифов на коммунальные услуги,  расходов на текущие ремонты, рост цен и прочие услуги).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Общий объём расходов бюджета  на общее  образование составил 210974,9 тысяч рублей, что составило 87,56 % от прошлого года. Причиной сокращения общих расходов бюджета является передача с 11.01.2011  муниципального общеобразовательного учреждения для детей сирот и детей, оставшихся без попечения родителей, городского поселения «Рабочий поселок Охотск» в краевую собственность.</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Общий объём расходов бюджета  общего образования в части  бюджетных инвестиций на увеличение стоимости основных средств в 2011 году составил  2086,2 тысяч рублей, в 2010 году -  4212,8 тысячи рублей.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Общий объём расходов бюджета  на общее образование в части текущих расходов составил в 2011 году 208 888,7 тыс. рублей, что составило 88,2 %  от прошлого года. Причиной сокращения текущих расходов является передача с 11.01.2011  муниципального общеобразовательного учреждения для детей сирот и детей, оставшихся без попечения родителей, городского поселения «Рабочий поселок Охотск» в краевую собственность.</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Общий объём расходов бюджета  на общее образование в части расходов на оплату труда и начислений на оплату труда 127543,18 тысяч рублей, что составило 97,8 %  показателя прошлого года. Причиной сокращения текущих расходов является передача с 11.01.2011года  муниципального общеобразовательного учреждения для детей сирот и детей, оставшихся без попечения родителей, городского поселения «Рабочий поселок Охотск» в краевую собственность.</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Количество муниципальных общеобразовательных учреждений, переведённых на подушевое финансирование - 8.</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Количество муниципальных общеобразовательных учреждений, переведённых на новую систему оплаты труда, ориентированную на результат - 8. Значение показателя рассчитано согласно инструкции на основании данных отчёта формы ОШ-2: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2 – МОУ  для детей дошкольного и младшего школьного возраста начальные школы-детские сады;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6 – МОУ средних (основная) общеобразовательных школ.</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районе переведены на новую систему оплаты труда – 9 общеобразовательных учреждений, в том числе МОУ вечерняя (сменная) общеобразовательная школа, которая не учитывается при расчете данного показателя.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Численность детей в возрасте от 5 – 18 лет, получающих услуги по дополнительному образованию в организациях различной организационно-правовой  формы и формы собственности - 1598, что на 41 человек больше прошлого года. Общий  контингент воспитанников составляет 99 % охвата.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Показатель «Численность детей в возрасте 5-18 лет в городском округе (муниципальном районе)» составил за 2010 год – 1694, а за 2011 год – 1286 человек. Причина -  выезд  жителей из района.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Общий объём расходов бюджета за 2011 год на дополнительное образование составил в 2010 году- 26661,56 тыс. рублей, а в 2011 году - 24369,05 тыс. рублей, что составляет 91,4% от показателя прошлого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Уменьшение расходов в 2011 году произошло по причине  реорганизации  в форме  присоединения муниципального образовательного учреждения дополнительного образования детей Станции юных техников р.п. Охотск  к  муниципальному образовательному учреждению дополнительного образования детей Дворцу творчества детей и молодежи р.п. Охотск Охотского муниципального района.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Общий объём расходов бюджета  дополнительного образования в части  бюджетных инвестиций на увеличение стоимости основных средств 2011 году составил  381,85 тыс. рублей, в прошлом году расходы по этим статьям  составляли 136,31 тысяч рублей.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Общий объём расходов бюджета  на дополнительное образование в части расходов на оплату труда и начислений на оплату труда в 2010 году – 17369,7 тыс. рублей,  в 2011 году-  19294,17 тыс. рублей, что на 11,08% больше показателя прошлого года.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По результатам сдачи экзаменов по сравнению с 2010 годом улучшены показатели по русскому языку (с 53,7 до 57,3), математике (с 37,8 до 41,9), по информатике (с 48,0 до 53,3), английскому языку (с 23,9 до 58,2),  снижены показатели по биологии (с 45,3 до 43,7),  обществознанию (с 57,8 до 56,5), истории (с 53,2 до 48,1). Высокие результаты при сдаче экзаменов в форме ЕГЭ показали: выпускники  МОУ СОШ п. Новая Иня по русскому языку, </w:t>
      </w:r>
      <w:r w:rsidRPr="00323673">
        <w:rPr>
          <w:rFonts w:eastAsia="Times New Roman" w:cs="Times New Roman"/>
          <w:szCs w:val="28"/>
          <w:lang w:eastAsia="ru-RU"/>
        </w:rPr>
        <w:lastRenderedPageBreak/>
        <w:t>математике, истории, обществознанию, физике; выпускники МОУ СОШ № 1 р.п. Охотск по информатике и ИКТ, английскому языку, биологии, истории, физике; выпускники МОУ СОШ с. Вострецово по русскому языку, математике; выпускники МОУ СОШ с. Арка по русскому языку, математике; выпускники МОУ СОШ с. Булгин по русскому языку, математике.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Улучшилось программное, учебно-методическое обеспечение образовательного процесса в школах района. За счет средств краевого бюджета все учащиеся получили диски на сумму 41360,04  рублей и учебники  федерального комплекта на сумму 667187 рублей.</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Для школьных библиотек получены тесты для проверки знаний учащихся 5-9 классов по предметам федерального компонента, базисного учебного плана, контрольно-измерительные материалы по подготовке выпускников к ЕГЭ.</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системе образования района – одно учреждение дополнительного образования - Муниципальное образовательное учреждение дополнительного образования детей Дворец творчества детей и молодежи р.п. Охотск (МОУ ДОД ДТДиМ), которое решает следующие задачи:</w:t>
      </w:r>
    </w:p>
    <w:p w:rsidR="00776D49" w:rsidRPr="00323673" w:rsidRDefault="00776D49" w:rsidP="00323673">
      <w:pPr>
        <w:spacing w:before="100" w:beforeAutospacing="1" w:after="100" w:afterAutospacing="1"/>
        <w:ind w:left="720"/>
        <w:rPr>
          <w:rFonts w:eastAsia="Times New Roman" w:cs="Times New Roman"/>
          <w:szCs w:val="28"/>
          <w:lang w:eastAsia="ru-RU"/>
        </w:rPr>
      </w:pPr>
      <w:r w:rsidRPr="00323673">
        <w:rPr>
          <w:rFonts w:eastAsia="Times New Roman" w:cs="Times New Roman"/>
          <w:szCs w:val="28"/>
          <w:lang w:eastAsia="ru-RU"/>
        </w:rPr>
        <w:t>1.     Компенсируют отсутствие в основном образовании интересующих детей видов и направлений деятельности.</w:t>
      </w:r>
    </w:p>
    <w:p w:rsidR="00776D49" w:rsidRPr="00323673" w:rsidRDefault="00776D49" w:rsidP="00323673">
      <w:pPr>
        <w:spacing w:before="100" w:beforeAutospacing="1" w:after="100" w:afterAutospacing="1"/>
        <w:ind w:left="720"/>
        <w:rPr>
          <w:rFonts w:eastAsia="Times New Roman" w:cs="Times New Roman"/>
          <w:szCs w:val="28"/>
          <w:lang w:eastAsia="ru-RU"/>
        </w:rPr>
      </w:pPr>
      <w:r w:rsidRPr="00323673">
        <w:rPr>
          <w:rFonts w:eastAsia="Times New Roman" w:cs="Times New Roman"/>
          <w:szCs w:val="28"/>
          <w:lang w:eastAsia="ru-RU"/>
        </w:rPr>
        <w:t>2.     Содействуют выбору индивидуального пути образования и развития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ребенка, по которому он может продвигаться в приемлемом для него темпе.</w:t>
      </w:r>
    </w:p>
    <w:p w:rsidR="00776D49" w:rsidRPr="00323673" w:rsidRDefault="00776D49" w:rsidP="00323673">
      <w:pPr>
        <w:spacing w:before="100" w:beforeAutospacing="1" w:after="100" w:afterAutospacing="1"/>
        <w:ind w:left="720"/>
        <w:rPr>
          <w:rFonts w:eastAsia="Times New Roman" w:cs="Times New Roman"/>
          <w:szCs w:val="28"/>
          <w:lang w:eastAsia="ru-RU"/>
        </w:rPr>
      </w:pPr>
      <w:r w:rsidRPr="00323673">
        <w:rPr>
          <w:rFonts w:eastAsia="Times New Roman" w:cs="Times New Roman"/>
          <w:szCs w:val="28"/>
          <w:lang w:eastAsia="ru-RU"/>
        </w:rPr>
        <w:t>3.     Обеспечивают ребенку комфортную  эмоциональную среду.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2011 году число объединений (кружков, секций, клубов) в учреждении дополнительного образования – 100 (1183 чел.), из них организованных на базе образовательных учреждений – 61 (789 чел.). Из общего числа объединений, расположенных в сельской местности – 48 кружков (553 чел).</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Учреждение дополнительного образования оказывает платные услуги образовательным учреждениям, населению, частным лицам: концерты, дискотеки, прокат костюмов, аренда помещений. Средства, полученные от реализации платных услуг, идут на развитие учреждений дополнительного образования детей, укрепления их материальной базы.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V. Физическая культура и спорт</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Вся спортивная деятельность в районе в 2011 году  проходила в рамках выполнения  решения районного Собрания  депутатов  от  18.02.2009 № 6 «О районной Программе «Развитие  физической культуры и спорта в Охотском  муниципальном  районе  на 2009-2013 годы». Работа  по организации  и проведению спортивных  мероприятий, по решению вопросов в области физической культуры  и спорта проходит в сотрудничестве со спортивной общественностью.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связи с уменьшением численности  постоянного населения, численность занимающихся  физической культурой и спортом  на постоянной основе в 2011 году  составила 1051 человек или 12,9 %  по сравнению с 2010 годом.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2010 году было организовано и проведено 33 районных спортивных мероприятий среди различных возрастных групп населения, в которых приняло участие 1082 человек, из них 808 детей и подростков.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Уровень фактической обеспеченности спортивными  сооружениями  в 2011 году составил 82,4 %, в том числе: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спортивными  залами - 7,8%;</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бассейнами – 83 %;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плоскостными спортплощадками – 174,2 %.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Расходы  по физкультуре и спорту за 2011 год составили 704,6  тыс. рублей или 5,6 % от соответствующего уровня прошлого года. В сравнении с 2010 годом  в 2011 году не были произведены расходы на строительство спорткомплекса, которое должно было осуществляться за счет спонсорских  средств. Средства на строительство запланированы на 2012 год.</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VI. Жилищное строительство и обеспечение граждан жильем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Общая площадь жилых помещений, приходящаяся в среднем на одного жителя  в 2011 году составила 28,8 кв. метров. Рост общей площади жилых помещений в среднем на одного жителя по сравнению с 2010 годом связан с выездом большого количества населения из района на постоянное место жительства в другие регионы России и ближнего зарубежья.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 1993 года не вводилось в эксплуатацию и не построено ни одного многоквартирного дома.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Число жилых квартир в расчете на 1 тыс. человек населения в 2011 году составляет 900 квартир, по сравнению с 2010 годом показатель увеличился на </w:t>
      </w:r>
      <w:r w:rsidRPr="00323673">
        <w:rPr>
          <w:rFonts w:eastAsia="Times New Roman" w:cs="Times New Roman"/>
          <w:szCs w:val="28"/>
          <w:lang w:eastAsia="ru-RU"/>
        </w:rPr>
        <w:lastRenderedPageBreak/>
        <w:t>60 квартир. Рост происходит по той же причине, что и в предыдущем показателе, за счет выезда большого количества населения из района на постоянное место жительства в другие регионы России и ближнего зарубежья.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VII. Жилищно-коммунальное хозяйство</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Согласно проведенным социологическим опросам населения муниципального района удовлетворенность населения жилищно-коммунальными услугами составляет 38,5%. Из 96 опрошенных жилищно-коммунальными услугами в районе удовлетворены 11 человек.</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многоквартирных домов, в которых собственники помещений выбрали и реализуют один из  способов управления многоквартирными домами составляет 0,47%. По состоянию на 01.01.2012 собственники четырех многоквартирных домов выбрали способ управления как непосредственного управление.</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организаций коммунального комплекса, осуществляющих оказание услуг по водо-, тепло-, электроснабжению,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района в 2011 году составляла 36%. На территории района в 2011 году  услуги по водо-, тепло-, электроснабжению, очистке сточных вод, утилизации (захоронению) ТБО предоставляли 11 организаций, в том числе 4 частные организации.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электрических ресурсов, расчеты за потребление которых осуществляются на основании показаний приборов учета, в  общем объеме энергетических ресурсов, потребляемых на территории муниципального района в 2011 году составляла: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электрической энергии – 100%;</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тепловой энергии – 0,63% (за 2011 год приборы учета тепловой энергии использовали в одном здании – ЦРДК);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холодной воды - 46,94%.</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Снабжение горячей водой и природным газом на территории района не осуществляется.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Уровень собираемости платежей за предоставленные жилищно-коммунальные услуги за 2011 год составил 87,7%. Снижение уровня собираемости на 3,3% по сравнению с уровнем 2010 года, можно охарактеризовать низкой платежеспособностью населения и образовавшейся задолженностью, невозможной к взысканию по пустующему жилью с не выявленными собственниками, в связи с высоким оттоком населения за пределы района. Кроме этого, с 01.09.2011  начала осуществлять свою  хозяйственную деятельность новая организация Охотский филиал ОАО «Теплоэнергосервис» и с 01.10.2011 – организация ОАО АК «Якутскэнерго» «Энергосбыт» по начислению и сбору платежей за жилищно-коммунальные услуги, которая начислила платежи за сентябрь, октябрь в ноябре 2011 года в связи с поздней передачей базы данных.</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подписанных паспортов готовности жилищного фонда и котельных (по состоянию на 15 ноября 2011 года) составляет 100%.</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Отношение тарифов для промышленных потребителей к тарифам для населения по водоснабжению в 2011 году составляет 1, так как на территории района действуют тарифы на холодную воду для населения, равные тарифам для прочих потребителей. Водоотведение для промышленных потребителей на территории района отсутствует.</w:t>
      </w:r>
    </w:p>
    <w:p w:rsidR="00776D49" w:rsidRPr="00323673" w:rsidRDefault="00776D49" w:rsidP="00323673">
      <w:pPr>
        <w:ind w:left="20" w:right="-3"/>
        <w:rPr>
          <w:rFonts w:eastAsia="Times New Roman" w:cs="Times New Roman"/>
          <w:szCs w:val="28"/>
          <w:lang w:eastAsia="ru-RU"/>
        </w:rPr>
      </w:pPr>
      <w:r w:rsidRPr="00323673">
        <w:rPr>
          <w:rFonts w:eastAsia="Times New Roman" w:cs="Times New Roman"/>
          <w:szCs w:val="28"/>
          <w:lang w:eastAsia="ru-RU"/>
        </w:rPr>
        <w:t>Доля многоквартирных домов, расположенных на земельных участках, в отношении которых  осуществлен государственный  кадастровый учет в 2011 году составила 57,3%.  Небольшой рост показателя связан с отсутствием денежных средств в бюджетах поселений и малой активности населения в выборе способа управления многоквартирными домами.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населения, проживающего в многоквартирных домах, признанных в установленном порядке аварийным остается на уровне 2010 года и составила 0,06%.</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жилищно-коммунальное хозяйство за 2011 год составил 391 441,5 тыс. руб., в том числе расходы на инвестиции на увеличение стоимости основных средств составили 1 629,7 тыс. руб., расходы на покрытие  организациям убытков, возникших в связи с применением регулируемых тарифов (цен) на тепловую и электрическую энергию составили 219 182,9 тыс. руб.</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Данные расходы финансируются в основном за счет средств расходов края (субвенции). Высокое исполнение по расходам отрасли в 2010 году  объясняется  тем, что финансирование расходов в части приобретения основных средств  осуществлялось за счет софинансирования расходов на приобретение техники для нужд района.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Доля протяженности освещенных частей улиц, проездов, набережных в их общей протяженности на конец отчетного года составила 10%.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val="en-US" w:eastAsia="ru-RU"/>
        </w:rPr>
        <w:t>VIII</w:t>
      </w:r>
      <w:r w:rsidRPr="00323673">
        <w:rPr>
          <w:rFonts w:eastAsia="Times New Roman" w:cs="Times New Roman"/>
          <w:szCs w:val="28"/>
          <w:lang w:eastAsia="ru-RU"/>
        </w:rPr>
        <w:t xml:space="preserve"> Организация муниципального управления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Оценка удовлетворенности жилищно-коммунальными услугами в районе составляет 8,7 % от числа опрошенных, что является отражением его реального состояния. В большей степени респонденты удовлетворены такими услугами ЖКХ как «качество питьевой воды» 55,5 % , «электроснабжение» - 56,6 %. В то же время, большую неудовлетворенность опрошенных выразили «стоимости услуг ЖКХ» - 75,0 % , «капитальному ремонту дома» - 72,8 %, «освещению улиц» - 70,7%.</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многоквартирных домов, в которых собственники выбрали и реализуют один из способов управления: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На 01.04.2011 г.  собственники 3 многоквартирных домов выбрали способ управления как непосредственного управление.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Подписанные паспорта готовности ЖФ и котельных (по состоянию на 15 ноября каждого отчетного года) ежегодно составляют 100%.</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Доля             убыточных организаций жилищно-коммунального хозяйства в 2010 году составила 38 %. В 2011 году планируется снижение доли убыточных организаций за счет ликвидации ХО ООО «НТЭХ», ХО ООО «ВЭХ», ХО ООО «ИЭХ», с передачей своих полномочий по теплоснабжению: ХО ООО «НТЭХ», ХО ООО «ВЭХ» в  МХ ООО «Коммунальное хозяйство», Инское сельское поселение переходит на локальное теплоснабжение (с установкой бойлеров); по электроснабжению в ООО «Охотскэнерго».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Расходы бюджета по отрасли «жилищно-коммунальное хозяйство» в 2010 году составили 279740 тыс. рублей, в том числе на увеличение стоимости основных средств в сумме 4710,2 тыс. рублей, на компенсацию разницы между экономически обоснованными  тарифами и тарифами, установленными для населения в сумме  275029,8 тыс. рублей. Расходы осуществлялись за счет средств местного бюджета, краевого бюджета и федерального бюджета.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Общая площадь жилых помещений в среднем на одного жителя (в м2): в 2009 – 30,3 м2, в 2010 – 31,5 м2, в 2011 – 27,6 м2, в 2012 – 28 м2, в 2013 – 31 м2. Рост общей площади жилых помещений в среднем на одного жителя связан с выездом большого количества населения из района на постоянное место </w:t>
      </w:r>
      <w:r w:rsidRPr="00323673">
        <w:rPr>
          <w:rFonts w:eastAsia="Times New Roman" w:cs="Times New Roman"/>
          <w:szCs w:val="28"/>
          <w:lang w:eastAsia="ru-RU"/>
        </w:rPr>
        <w:lastRenderedPageBreak/>
        <w:t>жительства в другие регионы России и ближнего зарубежья. С 1993 года не вводилось в эксплуатацию ни одного многоквартирного дома.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Число жилых квартир в расчете на 1000 человек населения: в 2009 – 685 ед., в 2010 – 713 ед., в 2011 – 863 ед., в 2012 – 877 ед., в 2013 – 968 ед. Рост происходит по той же причине, что и в предыдущем показателе.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Доля многоквартирных домов, расположенных на земельных участках, в отношении которых осуществлен государственный кадастровый учет: в 2009 – 0,00026%,  в  2010– 56,4%, в 2011 – 59%, в 2012 – 59%, в 2013 – 59%. Планируемый небольшой рост показателя связан с отсутствием денежных средств в бюджетах поселений и малой активности населения в выборе способа управления МКД.</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VIII. Организация муниципального управления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Удовлетворенность качеством предоставляемых услуг по данным социологического опроса органов местного самоуправления в 2011 году составляет 34,8 %. Это означает, что есть еще вопросы, требующие приоритетного внимания органов местного самоуправления.</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сравнении с 2010 годом доля налоговых и неналоговых доходов (за исключением поступлений налоговых доходов по дополнительным нормативам отчислений) в 2011 году снизилась с 12,8 % до 9,8%, несмотря на то, что размер дополнительного норматива по налогу на доходы физических лиц в 2011 году снизился на 0,8 % (дополнительный норматив в 2010 году – 70 %, в 2011 году – 69,2020 %)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Основной причиной является снижение в целом поступлений налоговых и неналоговых доходов в 2011 году к 2010  году на 1406,4 тыс.рублей. Общая сумма доходов (без учета субвенций) возросла в 2011 году  по сравнению с 2010 годом на 31 %, сумма налоговых и неналоговых доходов (без учета  дополнительных нормативов) на 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Удовлетворенность качеством предоставляемых услуг по данным социологического опроса  в сфере культуры составляет 54,3 %.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Учреждениями культуры  района за 2011 год проведено 1670 мероприятий, которые посетило 70743 человека, мероприятий на платной основе  проведено 739  которые посетило 16695 человек.</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района на культуру</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Учреждения культуры в 2011 году профинансированы на сумму 59479,1 тыс. рублей при плане 65341,0 тыс. рублей, что составляет 91,0% от годового плана.</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В 2011 году по отрасли «Культура и кинематография» произошли следующие изменения.</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Уменьшение количества учреждений на 12 единиц связано с реорганизацией клубных учреждений. С 01 октября 2011 года выделены два самостоятельных учреждения со статусом юридического лица: национальный культурный центр и клубные учреждения. Головное учреждение (центральный дом культуры) имеет 7  филиалов в поселениях района. Увеличение штатной численности по клубам объясняется введением дополнительных ставок дежурных (3 шт. ед.) при переводе национального культурного цента  в отдельное здание. Уменьшение количества руководящих работников на 1 единицу (директор музея) объясняется выходом краеведческого музея им Е.Ф. Морокова из состава отдела культуры администрации Охотского муниципального района и переводом его в филиал Хабаровского краевого музея им. Н.И. Гродекова.</w:t>
      </w:r>
    </w:p>
    <w:p w:rsidR="00776D49" w:rsidRPr="00323673" w:rsidRDefault="00776D49" w:rsidP="00323673">
      <w:pPr>
        <w:spacing w:before="100" w:beforeAutospacing="1" w:after="100" w:afterAutospacing="1"/>
        <w:ind w:right="6"/>
        <w:rPr>
          <w:rFonts w:eastAsia="Times New Roman" w:cs="Times New Roman"/>
          <w:szCs w:val="28"/>
          <w:lang w:eastAsia="ru-RU"/>
        </w:rPr>
      </w:pPr>
      <w:r w:rsidRPr="00323673">
        <w:rPr>
          <w:rFonts w:eastAsia="Times New Roman" w:cs="Times New Roman"/>
          <w:szCs w:val="28"/>
          <w:lang w:eastAsia="ru-RU"/>
        </w:rPr>
        <w:t> Уменьшение количества учреждений на 8 единиц связано также с реорганизацией: центральная районная библиотека выделена в одно головное учреждение со статусом юридического лица с 8 филиалами в поселениях района. Уменьшение количества штатных единиц по филиалам с 16 до 12 объясняется переводом детской библиотеки из учреждения в один из филиалов головного учреждения. Увеличение общего количества штатных единиц с 39 до 40 объясняется введением дополнительно 0,5 шт. единицы библиотекаря-переплетчика за счет 0,5 шт. ед. настройщика в детской школе искусств.</w:t>
      </w:r>
    </w:p>
    <w:p w:rsidR="00776D49" w:rsidRPr="00323673" w:rsidRDefault="00776D49" w:rsidP="00323673">
      <w:pPr>
        <w:spacing w:before="100" w:beforeAutospacing="1" w:after="100" w:afterAutospacing="1"/>
        <w:ind w:right="11"/>
        <w:rPr>
          <w:rFonts w:eastAsia="Times New Roman" w:cs="Times New Roman"/>
          <w:szCs w:val="28"/>
          <w:lang w:eastAsia="ru-RU"/>
        </w:rPr>
      </w:pPr>
      <w:r w:rsidRPr="00323673">
        <w:rPr>
          <w:rFonts w:eastAsia="Times New Roman" w:cs="Times New Roman"/>
          <w:szCs w:val="28"/>
          <w:lang w:eastAsia="ru-RU"/>
        </w:rPr>
        <w:t xml:space="preserve">. Средняя заработная плата работников культуры за 2011 год составила 13,7 тыс. рублей. Кредиторская задолженность по отрасли по состоянию на 01 января 2012 года отсутствует. </w:t>
      </w:r>
    </w:p>
    <w:p w:rsidR="00776D49" w:rsidRPr="00323673" w:rsidRDefault="00776D49" w:rsidP="00323673">
      <w:pPr>
        <w:spacing w:before="100" w:beforeAutospacing="1" w:after="100" w:afterAutospacing="1"/>
        <w:ind w:right="11"/>
        <w:rPr>
          <w:rFonts w:eastAsia="Times New Roman" w:cs="Times New Roman"/>
          <w:szCs w:val="28"/>
          <w:lang w:eastAsia="ru-RU"/>
        </w:rPr>
      </w:pPr>
      <w:r w:rsidRPr="00323673">
        <w:rPr>
          <w:rFonts w:eastAsia="Times New Roman" w:cs="Times New Roman"/>
          <w:szCs w:val="28"/>
          <w:lang w:eastAsia="ru-RU"/>
        </w:rPr>
        <w:t>По состоянию на 01 января 2012 года все учреждения культуры района являются казенными учреждениями.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(строка 138)  в 2011 году превышают объем расходов в 2010 году на 13,9 %. Рост расходов обусловлен причинами: увеличением заработной платы работникам бюджетной сферы;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ростом тарифов на коммунальные услуги;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погашением кредиторской задолженности за прошлые годы.</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Норматив на содержание органов местного самоуправления районом выполняется. Увеличение  расходов на содержание органов местного самоуправления в 2011 году связано с тем, что выплаты по заработной плате произведены за 13 месяцев (т.е. в годовой фонд заработной платы  включены  расходы по заработной плате за  декабрь 2010 года, выплаченные в январе 2011 года) кроме того, произведены  увеличение норматива  отчислений страховых взносов.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плановых показателях по расходам муниципального образования и всех отраслей на 2012 год отражены показатели по уточненной бюджетной росписи по состоянию на 01 апреля 2012 года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В целях реализации Федерального закона от 27.07.2010 № 210-ФЗ «Об организации предоставлении государственных и муниципальных услуг» создана база муниципальных правовых актов:</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утвержден новый порядок формирования и ведения Реестра муниципальных услуг (функций) Охотского муниципального района (постановление администрации района от 22.02.2012 № 46);</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приведены в соответствие с требованиями законодательства Порядки разработки и утверждения административных регламентов исполнения муниципальных фунгкций и предоставления муниципальных услуг (в редакции постановления администрации района от 17.02.2012 № 41);</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утвержден Перечень услуг, которые являются необходимыми и обязательными при предоставлении органами местного самоуправления муниципальных услуг (решение Собрания депутатов района от 29.02.2012 № 7);</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утвержден поэтапный план перевода на предоставление в электронном виде муниципальных услуг, не включенных в перечень первоочередных муниципальных услуг, предусмотренных к предоставлению в электронном виде органами местного самоуправления Охотского муниципального района и подведомственными им муниципальными учреждениями (постановление администрации района от 28.02.2012 № 48);</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 утвержден порядок запроса, а также подготовки и направления ответа на запрос о предоставлении документов и (или) информации, необходимых для предоставления (исполнения) муниципальных услуг (функций) органами местного самоуправления Охотского муниципального района и подведомственными этим органам организациями, участвующими в предоставлении муниципальных услуг (постановление администрации района от 19.03.2012 № 72);</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 xml:space="preserve">            - главой района утвержден Перечень услуг, предоставляемых органами местного самоуправления района, в отношении которых планируется проведение работ по организации межведомственного и (или) межуровневого взаимодействия, включающий 54 услуги.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IX. Энергосбережение и повышение энергетической эффективности</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Удельная величина потребления энергетических ресурсов в многоквартирных домах в 2011 году составила:</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электрической энергии -  1785,98 кВт/ч на 1 проживающего. Данный показатель превышает показатель 2010 года и в дальнейшем намечается тенденция по его увеличению. Это вызвано проводимыми мероприятиями в области энергосбережения энергоснабжающими организациями района, в частности установкой приборов ОДН в многоквартирных домах, что привело к уменьшению сверхнормативных потерь и увеличению реализации электроэнергии населению.</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тепловой энергии - 0,22 Гкал на один кв. метр общей площади. Данный показатель по сравнению с 2010 годом увеличился, так как в район в 2011 году проведена модернизация коммунальной инфраструктуры р.п. Охотск,  в р.п. Охотск построена новая модульная котельная МКУ, мощностью 17,5МВт и магистральная теплотрасса от данной котельной, закрыты неэффективные котельные № 2,3,5,8,14,19,20,23.</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 холодной воды – 7,54 куб.метр на одного проживающего. Данный показатель также увеличился, что вызвано уменьшением населения района и внедрением мероприятий по энергосбережению (установка приборов учета, усиление контроля за качеством и количеством доставки воды до потребителей).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При анализе удельной величины потребления энергетических ресурсов муниципальными бюджетными учреждениями в части электроснабжения в 2011 году по сравнению с 2010 годом происходит уменьшение потребления электроэнергии в связи с внедрением мероприятий по энергосбережению (установка энергосберегающих ламп, заменой устаревшего оборудования на новое, менее энергоемкое). В 2011 году удельный расход электроэнергии муниципальными бюджетными учреждениями составил 455,41 кВт/ч на одного человека населения. В части теплоснабжения, удельная величина потребления тепла в 2011 году осталось на уровне 2010 года, и составила 0,8  Гкал на один кв. метр общей площади. В части расхода холодной воды 1 м3 на одного проживающего отслеживается тенденция увеличения потребления, вызванное уменьшением населения района и внедрением мероприятий по энергосбережению (установка приборов учета, усиление контроля за качеством и количеством доставки воды до потребителей). В 2011 году удельная величина потребления холодной воды на одного проживающего составила 4,54 м3 на одного проживающего.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lastRenderedPageBreak/>
        <w:t>Действия по снижению неэффективных расходов в сфере ЖКХ:</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xml:space="preserve">В 2011 году 6 муниципальных ДЭС переданы одной эксплуатирующей организации (ООО «Охотскэнерго») и 20 муниципальных котельных р.п. Охотск, с. Вострецово, п. Новое Устье, с. Булгин и п. Аэропорт переданы Охотскому филиалу ОАО «Теплоэнергосервис»  на   техобслуживание.  С 01 сентября   2011 года  прекратили выполнять производственную деятельность пять хозяйственных обществ ЖКХ поселений района. Хозяйственные функции этих организаций были переданы новым организациям ЖКХ: МХ ООО «Энергетик» и Охотскому филиалу ОАО «Теплоэнергосервис».  </w:t>
      </w:r>
    </w:p>
    <w:p w:rsidR="00776D49" w:rsidRPr="00323673" w:rsidRDefault="00776D49" w:rsidP="00323673">
      <w:pPr>
        <w:ind w:left="20" w:right="-3"/>
        <w:rPr>
          <w:rFonts w:eastAsia="Times New Roman" w:cs="Times New Roman"/>
          <w:szCs w:val="28"/>
          <w:lang w:eastAsia="ru-RU"/>
        </w:rPr>
      </w:pPr>
      <w:r w:rsidRPr="00323673">
        <w:rPr>
          <w:rFonts w:eastAsia="Times New Roman" w:cs="Times New Roman"/>
          <w:szCs w:val="28"/>
          <w:lang w:eastAsia="ru-RU"/>
        </w:rPr>
        <w:t>В рамках мероприятий организаций ЖКХ по подготовке к зиме, в р.п. Охотск построена новая модульная котельная МКУ, мощностью 17,5МВт и магистральная теплотрасса от данной котельной, закрыты неэффективные котельные № 2,3,5,8,14,19,20,23 в р.п. Охотск.  Капитально отремонтировано 2 котла КВ-0,8 на котельной п. Аэропорт. Проведена реконструкция теплоснабжения п. Новое Устье с закрытием одной котельной. Выполнены работы по монтажу 4 модульных бойлерных котельных установок для объектов социальной сферы в с. Иня, п. Новая Иня и закрыты 2 котельные на твердом топливе.</w:t>
      </w:r>
    </w:p>
    <w:p w:rsidR="00776D49" w:rsidRPr="00323673" w:rsidRDefault="00776D49" w:rsidP="00323673">
      <w:pPr>
        <w:ind w:left="20" w:right="-3"/>
        <w:rPr>
          <w:rFonts w:eastAsia="Times New Roman" w:cs="Times New Roman"/>
          <w:szCs w:val="28"/>
          <w:lang w:eastAsia="ru-RU"/>
        </w:rPr>
      </w:pPr>
      <w:r w:rsidRPr="00323673">
        <w:rPr>
          <w:rFonts w:eastAsia="Times New Roman" w:cs="Times New Roman"/>
          <w:szCs w:val="28"/>
          <w:lang w:eastAsia="ru-RU"/>
        </w:rPr>
        <w:t xml:space="preserve">Также для подготовке к зиме на всех объектах энергетики проведены ремонтные работы на котельных и ДЭС района. ООО «Охотскэнерго» произведены капитальный ремонт дизель-генератора № 9 и средний ремонт ДГ № 8 на ДЭС Охотск, капитальный ремонт ДГ-72 на ДЭС с. Вострецово, текущий ремонт ДГ-72 ДЭС Новая Иня и переустановка АД-200 на ДЭС Арка. Отремонтированы и заменены поврежденные  9 км линии электропередач и 4 трансформаторные подстанции, выполнен ремонт 9 ДГ в целом по району. На ДЭС п. Аэропорт демонтированы 2 отработавших свой ресурс: ДГА-315 и ДГ «Русский». Рыболовецкой артелью «Иня» на ДЭС ведется монтаж четвертого дизель-генератора. Рыболовецким колхозом им. Ленина проведена замена 2,6 км линий электропередач, отремонтирован один ДГ-320.                                                                                                                                                   </w:t>
      </w:r>
    </w:p>
    <w:p w:rsidR="00776D49" w:rsidRPr="00323673" w:rsidRDefault="00776D49" w:rsidP="00323673">
      <w:pPr>
        <w:ind w:left="20" w:right="-3"/>
        <w:rPr>
          <w:rFonts w:eastAsia="Times New Roman" w:cs="Times New Roman"/>
          <w:szCs w:val="28"/>
          <w:lang w:eastAsia="ru-RU"/>
        </w:rPr>
      </w:pPr>
      <w:r w:rsidRPr="00323673">
        <w:rPr>
          <w:rFonts w:eastAsia="Times New Roman" w:cs="Times New Roman"/>
          <w:szCs w:val="28"/>
          <w:lang w:eastAsia="ru-RU"/>
        </w:rPr>
        <w:t>В 2012 году в р.п. Охотск  будет построена вторая модульная котельная МКУ, мощностью 10,5МВт и магистральная теплотрасса от данной котельной, с закрытием котельных № 7,9,10,11, будут объедены 2 котельные № 16 и 17 в одну котельную. В 2012 году  будет произведена замена и ремонт электролиний в р.п. Охотск, ДГ-200 в п. Морской, мощностью 200кВт, капитальный ремонт 2 ДГ-72 в населенных пунктах района. В 2012 году на ДЭС с. Вострецово будет построен склад ГСМ.</w:t>
      </w:r>
    </w:p>
    <w:p w:rsidR="00776D49" w:rsidRPr="00323673" w:rsidRDefault="00776D49" w:rsidP="00323673">
      <w:pPr>
        <w:ind w:left="20" w:right="-3"/>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r w:rsidRPr="00323673">
        <w:rPr>
          <w:rFonts w:eastAsia="Times New Roman" w:cs="Times New Roman"/>
          <w:szCs w:val="28"/>
          <w:lang w:eastAsia="ru-RU"/>
        </w:rPr>
        <w:t> </w:t>
      </w: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776D49" w:rsidRPr="00323673" w:rsidRDefault="00776D49"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pPr>
    </w:p>
    <w:p w:rsidR="0018518D" w:rsidRPr="00323673" w:rsidRDefault="0018518D" w:rsidP="00323673">
      <w:pPr>
        <w:spacing w:before="100" w:beforeAutospacing="1" w:after="100" w:afterAutospacing="1"/>
        <w:rPr>
          <w:rFonts w:eastAsia="Times New Roman" w:cs="Times New Roman"/>
          <w:szCs w:val="28"/>
          <w:lang w:eastAsia="ru-RU"/>
        </w:rPr>
        <w:sectPr w:rsidR="0018518D" w:rsidRPr="00323673" w:rsidSect="00AD5573">
          <w:pgSz w:w="11906" w:h="16838"/>
          <w:pgMar w:top="1134" w:right="567" w:bottom="1134" w:left="1985" w:header="709" w:footer="709" w:gutter="0"/>
          <w:cols w:space="708"/>
          <w:docGrid w:linePitch="381"/>
        </w:sectPr>
      </w:pPr>
    </w:p>
    <w:p w:rsidR="0018518D" w:rsidRPr="00323673" w:rsidRDefault="0018518D" w:rsidP="00323673">
      <w:pPr>
        <w:spacing w:before="100" w:beforeAutospacing="1" w:after="100" w:afterAutospacing="1"/>
        <w:rPr>
          <w:rFonts w:eastAsia="Times New Roman" w:cs="Times New Roman"/>
          <w:szCs w:val="28"/>
          <w:lang w:eastAsia="ru-RU"/>
        </w:rPr>
      </w:pPr>
    </w:p>
    <w:tbl>
      <w:tblPr>
        <w:tblW w:w="13467" w:type="dxa"/>
        <w:tblCellSpacing w:w="0" w:type="dxa"/>
        <w:tblLayout w:type="fixed"/>
        <w:tblCellMar>
          <w:left w:w="0" w:type="dxa"/>
          <w:right w:w="0" w:type="dxa"/>
        </w:tblCellMar>
        <w:tblLook w:val="04A0" w:firstRow="1" w:lastRow="0" w:firstColumn="1" w:lastColumn="0" w:noHBand="0" w:noVBand="1"/>
      </w:tblPr>
      <w:tblGrid>
        <w:gridCol w:w="601"/>
        <w:gridCol w:w="5666"/>
        <w:gridCol w:w="1621"/>
        <w:gridCol w:w="1099"/>
        <w:gridCol w:w="681"/>
        <w:gridCol w:w="992"/>
        <w:gridCol w:w="1924"/>
        <w:gridCol w:w="883"/>
      </w:tblGrid>
      <w:tr w:rsidR="00776D49" w:rsidRPr="00323673" w:rsidTr="0018518D">
        <w:trPr>
          <w:trHeight w:val="37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2866" w:type="dxa"/>
            <w:gridSpan w:val="7"/>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ДОКЛАД</w:t>
            </w:r>
          </w:p>
        </w:tc>
      </w:tr>
      <w:tr w:rsidR="00776D49" w:rsidRPr="00323673" w:rsidTr="0018518D">
        <w:trPr>
          <w:trHeight w:val="37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39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2866" w:type="dxa"/>
            <w:gridSpan w:val="7"/>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Васильева Андрея Николаевича, главы</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2866" w:type="dxa"/>
            <w:gridSpan w:val="7"/>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(Ф.И.О. главы местной администрации городского круга, муниципального района)</w:t>
            </w:r>
          </w:p>
        </w:tc>
      </w:tr>
      <w:tr w:rsidR="00776D49" w:rsidRPr="00323673" w:rsidTr="0018518D">
        <w:trPr>
          <w:trHeight w:val="25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39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2866" w:type="dxa"/>
            <w:gridSpan w:val="7"/>
            <w:vAlign w:val="center"/>
            <w:hideMark/>
          </w:tcPr>
          <w:p w:rsidR="00776D49" w:rsidRPr="00323673" w:rsidRDefault="00776D49" w:rsidP="00323673">
            <w:pPr>
              <w:ind w:right="4467"/>
              <w:rPr>
                <w:rFonts w:eastAsia="Times New Roman" w:cs="Times New Roman"/>
                <w:szCs w:val="28"/>
                <w:lang w:eastAsia="ru-RU"/>
              </w:rPr>
            </w:pPr>
            <w:r w:rsidRPr="00323673">
              <w:rPr>
                <w:rFonts w:eastAsia="Times New Roman" w:cs="Times New Roman"/>
                <w:szCs w:val="28"/>
                <w:lang w:eastAsia="ru-RU"/>
              </w:rPr>
              <w:t>Охотского муниципального района Хабаровского края</w:t>
            </w:r>
          </w:p>
        </w:tc>
      </w:tr>
      <w:tr w:rsidR="00776D49" w:rsidRPr="00323673" w:rsidTr="0018518D">
        <w:trPr>
          <w:trHeight w:val="25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1983" w:type="dxa"/>
            <w:gridSpan w:val="6"/>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(наименование городского округа, муниципального района)</w:t>
            </w: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5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5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7200" w:type="dxa"/>
            <w:gridSpan w:val="6"/>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121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12866" w:type="dxa"/>
            <w:gridSpan w:val="7"/>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 достигнутых значениях показателей для оценки эффективности деятельности                                                             органов местного самоуправления (городского округа, муниципального района)                                                                                                за 2011 год и их планируемых значениях на 3-летний период</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Подпись</w:t>
            </w: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Дата</w:t>
            </w:r>
          </w:p>
        </w:tc>
        <w:tc>
          <w:tcPr>
            <w:tcW w:w="2807" w:type="dxa"/>
            <w:gridSpan w:val="2"/>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330"/>
          <w:tblCellSpacing w:w="0" w:type="dxa"/>
        </w:trPr>
        <w:tc>
          <w:tcPr>
            <w:tcW w:w="13467" w:type="dxa"/>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Показатели эффективности деятельности органов местного самоуправления Охотского муниципального района</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52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Показатели</w:t>
            </w:r>
          </w:p>
        </w:tc>
        <w:tc>
          <w:tcPr>
            <w:tcW w:w="1621"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Единица измерения</w:t>
            </w:r>
          </w:p>
        </w:tc>
        <w:tc>
          <w:tcPr>
            <w:tcW w:w="5579" w:type="dxa"/>
            <w:gridSpan w:val="5"/>
            <w:vAlign w:val="center"/>
            <w:hideMark/>
          </w:tcPr>
          <w:p w:rsidR="00776D49" w:rsidRPr="00323673" w:rsidRDefault="00776D49" w:rsidP="00323673">
            <w:pPr>
              <w:ind w:left="-91"/>
              <w:rPr>
                <w:rFonts w:eastAsia="Times New Roman" w:cs="Times New Roman"/>
                <w:szCs w:val="28"/>
                <w:lang w:eastAsia="ru-RU"/>
              </w:rPr>
            </w:pPr>
            <w:r w:rsidRPr="00323673">
              <w:rPr>
                <w:rFonts w:eastAsia="Times New Roman" w:cs="Times New Roman"/>
                <w:szCs w:val="28"/>
                <w:lang w:eastAsia="ru-RU"/>
              </w:rPr>
              <w:t>Отчётная информация</w:t>
            </w:r>
          </w:p>
        </w:tc>
      </w:tr>
      <w:tr w:rsidR="00776D49" w:rsidRPr="00323673" w:rsidTr="0018518D">
        <w:trPr>
          <w:trHeight w:val="8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Merge/>
            <w:vAlign w:val="center"/>
            <w:hideMark/>
          </w:tcPr>
          <w:p w:rsidR="00776D49" w:rsidRPr="00323673" w:rsidRDefault="00776D49" w:rsidP="00323673">
            <w:pPr>
              <w:rPr>
                <w:rFonts w:eastAsia="Times New Roman" w:cs="Times New Roman"/>
                <w:szCs w:val="28"/>
                <w:lang w:eastAsia="ru-RU"/>
              </w:rPr>
            </w:pPr>
          </w:p>
        </w:tc>
        <w:tc>
          <w:tcPr>
            <w:tcW w:w="1621" w:type="dxa"/>
            <w:vMerge/>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2011</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2012</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2013</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2014</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I. ЭКОНОМИЧЕСКОЕ РАЗВИТИЕ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31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Дорожное хозяйство и транспорт</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14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отремонтированных автомобильных дорог общего пользования местного значения с твердым покрытием, в  отношении которых произведен капитальный ремонт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r>
      <w:tr w:rsidR="00776D49" w:rsidRPr="00323673" w:rsidTr="0018518D">
        <w:trPr>
          <w:trHeight w:val="11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отремонтированных автомобильных дорог общего пользования местного значения с твердым покрытием, в  отношении которых произведен ремонт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187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автомобильных дорог местного значения с твердым покрытием, переданных на техническое обслуживание немуниципальным и (или) негосударственным предприятиям  на основе долгосрочных договоров (свыше 3 лет)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66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44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28,90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26,00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21,70</w:t>
            </w:r>
          </w:p>
        </w:tc>
      </w:tr>
      <w:tr w:rsidR="00776D49" w:rsidRPr="00323673" w:rsidTr="0018518D">
        <w:trPr>
          <w:trHeight w:val="8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дорожное хозяйство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13 521,60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19 257,13</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15 400,00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15 862,00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16 433,00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дорожное хозяйство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транспорт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2 195,30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1 482,08</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1 800,00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1 854,00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1 920,00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транспорт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Развитие малого и среднего предпринимательства</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субъектов малого и  среднего предпринимательства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  на 10 тыс. человек населения</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322,00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312,00</w:t>
            </w:r>
          </w:p>
        </w:tc>
      </w:tr>
      <w:tr w:rsidR="00776D49" w:rsidRPr="00323673" w:rsidTr="0018518D">
        <w:trPr>
          <w:trHeight w:val="19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17,90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16,80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15,20</w:t>
            </w:r>
          </w:p>
        </w:tc>
      </w:tr>
      <w:tr w:rsidR="00776D49" w:rsidRPr="00323673" w:rsidTr="0018518D">
        <w:trPr>
          <w:trHeight w:val="59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общего годового объема заказов на поставку товаров, выполнение работ, оказание услуг для муниципальных нужд в соответствии с перечнем товаров, работ, услуг для государственных и муниципальных нужд, размещение заказов на которые  осуществляется у субъектов малого предпринимательства, утвержденным Постановлением Правительства Российской Федерации от 4 ноября 2006 г. N 642, размещенных путем проведения торгов, запроса котировок, участниками которых являются субъекты малого предпринимательства, в общем  годовом объеме заказов на  поставку товаров, выполнение  работ, оказание услуг для муниципальных нужд в соответствии с указанным перечнем, размещенных путем проведения торгов, запроса котировок</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16,00</w:t>
            </w:r>
          </w:p>
        </w:tc>
      </w:tr>
      <w:tr w:rsidR="00776D49" w:rsidRPr="00323673" w:rsidTr="0018518D">
        <w:trPr>
          <w:trHeight w:val="29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Доля муниципального имущества, свободного от прав третьих лиц, включенного в перечни муниципального имущества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80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вновь созданных в течение  года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Площадь зарегистрированных на территории муниципального образования бизнес-инкубаторов, промышленных  парков, технопарков, научных  парков, инновационно-технологических центров и иных объектов, относящихся к инфраструктуре поддержки субъектов малого и среднего предпринимательства, в расчете на 100 малых и средних компаний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110"/>
          <w:tblCellSpacing w:w="0" w:type="dxa"/>
        </w:trPr>
        <w:tc>
          <w:tcPr>
            <w:tcW w:w="601"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развитие и поддержку малого и среднего предпринимательства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606,60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1 000,00</w:t>
            </w:r>
          </w:p>
        </w:tc>
      </w:tr>
      <w:tr w:rsidR="00776D49" w:rsidRPr="00323673" w:rsidTr="0018518D">
        <w:trPr>
          <w:trHeight w:val="27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расчете на одно малое и среднее предприятие муниципального образования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0,02</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4,40</w:t>
            </w:r>
          </w:p>
        </w:tc>
      </w:tr>
      <w:tr w:rsidR="00776D49" w:rsidRPr="00323673" w:rsidTr="0018518D">
        <w:trPr>
          <w:trHeight w:val="54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расчете на одного жителя муниципального образования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0,08</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0,11</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0,14</w:t>
            </w:r>
          </w:p>
        </w:tc>
      </w:tr>
      <w:tr w:rsidR="00776D49" w:rsidRPr="00323673" w:rsidTr="0018518D">
        <w:trPr>
          <w:trHeight w:val="5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Улучшение инвестиционной привлекательности</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795"/>
          <w:tblCellSpacing w:w="0" w:type="dxa"/>
        </w:trPr>
        <w:tc>
          <w:tcPr>
            <w:tcW w:w="601"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Площадь земельных участков, предоставленных для строительства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га</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0,82</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r>
      <w:tr w:rsidR="00776D49" w:rsidRPr="00323673" w:rsidTr="0018518D">
        <w:trPr>
          <w:trHeight w:val="27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для жилищного строительства, индивидуального жилищного строительства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га</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Merge/>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для комплексного освоения в целях жилищного строительства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га</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земельных участков в городском округе(муниципальном районе), предоставленных для строительства (кроме жилищного) по результатам      торгов, в общей площади земельных участков в городском округе (муниципальном районе), предоставленных для строительства (кроме жилищного)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46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17.2.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земельных участков, находящихся в муниципальной собственности, а также государственная собственность на которые не разграничена, право постоянного(бессрочного) пользования которыми переоформлено в соответствии с требованиями Федерального закона "О введении в действие Земельного кодекса Российской Федерации", в общем количестве земельных участков, находящихся в муниципальной собственности, а также государственная собственность на которые не разграничена, право постоянного (бессрочного)пользования на которые подлежит переоформлению</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99,90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99,90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13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14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Средняя продолжительность периода с даты подачи заявки на предоставление земельного участка для строительства до даты принятия решения о предоставлении земельного  участка для строительства или подписания протокола о результатах торгов (конкурсов,  аукционов)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r>
      <w:tr w:rsidR="00776D49" w:rsidRPr="00323673" w:rsidTr="0018518D">
        <w:trPr>
          <w:trHeight w:val="13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20.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Средняя продолжительность периода с даты подачи заявки на получение разрешения на строительство до даты получения разрешения на строительство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r>
      <w:tr w:rsidR="00776D49" w:rsidRPr="00323673" w:rsidTr="0018518D">
        <w:trPr>
          <w:trHeight w:val="21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21. </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объектов жилищного строительства - в течение 3 лет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иных объектов капитального строительства - в течение 5 лет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Объем инвестиций в основной капитал (за исключением бюджетных средств) в расчете на 1 жителя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18 011,70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39 600,90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75 961,00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84 849,00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96 232,00</w:t>
            </w:r>
          </w:p>
        </w:tc>
      </w:tr>
      <w:tr w:rsidR="00776D49" w:rsidRPr="00323673" w:rsidTr="0018518D">
        <w:trPr>
          <w:trHeight w:val="3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Сельское хозяйство</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7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прибыльных сельскохозяйственных организаций (для муниципальных районов)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Общее число сельскохозяйственных организаций (для муниципальных районов)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26.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Площадь фактически используемых сельскохозяйственных угодий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га</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Общая площадь сельскохозяйственных угодий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га</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18 467,00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18 467,00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18 467,00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18 467,00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18 467,00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обрабатываемой пашни в общей площади пашни муниципального района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30,60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30,60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30,60</w:t>
            </w:r>
          </w:p>
        </w:tc>
      </w:tr>
      <w:tr w:rsidR="00776D49" w:rsidRPr="00323673" w:rsidTr="0018518D">
        <w:trPr>
          <w:trHeight w:val="37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Доходы населения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57,50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63,20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65,50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67,40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Среднемесячная номинальная начисленная заработная плата работников: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25 506,00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27 772,00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30 938,00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33 382,00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35 708,00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крупных и средних предприятий и некоммерческих организаций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31 336,00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35 142,10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36 934,00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39 076,00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41 537,80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муниципальных дошкольных 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14 431,10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15 184,50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19 360,00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21 199,00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23 212,00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муниципальных общеобразовательных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18 534,00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24 995,60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27 370,00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29 970,00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32 817,00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учителей муниципальных общеобразовательных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32 217,00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41 000,90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44 896,00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49 161,00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53 831,00</w:t>
            </w: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прочего персонала муниципальных общеобразовательных учреждений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учебного процесса)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13 349,00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15 996,39</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18 020,00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19 731,00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21 605,00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муниципальных учреждений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23 058,00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26 083,50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врачей муниципальных учреждений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43 043,00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47 778,00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среднего медицинского персонала муниципальных учреждений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26 435,00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29 074,00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прочего персонала, в том числе младшего медицинского персонала, муниципальных учреждений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13 349,00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15 709,00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II. ЗДРАВООХРАНЕНИЕ И ЗДОРОВЬЕ НАСЕЛЕНИЯ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96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31.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медицинской помощью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Охват населения (18 лет и старше) профилактическими осмотрами на туберкулез</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77,60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Охват населения (18 лет и старше) профилактическими осмотрами на злокачественные новообразования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98,20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амбулаторных учреждений, имеющих медицинское оборудование в соответствии с табелем оснащения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Общее число амбулаторных учреждений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муниципальных медицинских учреждений, применяющих стандарты оказания медицинской помощи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муниципальных медицинских учреждений, переведенных на новую (отраслевую) систему оплаты труда, ориентированную на результат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муниципальных медицинских учреждений, переведенных преимущественно на одноканальное финансирование через систему обязательного медицинского страхования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39.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муниципальных медицинских учреждений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случаев смерти лиц в возрасте до 65 лет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случаев на 100 тыс. человек населения</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2 052,00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1 276,00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на дому</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1 341,00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552,00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от инфаркта миокарда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от инсульта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105,00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116,60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первые сутки в стационаре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от инфаркта миокарда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случаев на 100 тыс.человек населения</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от инсульта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случаев смерти детей до 18 лет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224,00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на дому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первые сутки в стационаре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работающих (физических лиц) в муниципальных учреждениях здравоохранения в расчете на 10 тыс. человек населения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327,00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врачей (физических лиц) в муниципальных учреждениях здравоохранения в расчете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из них участковых врачей и врачей общей практики в расчете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среднего медицинского персонала (физических лиц) в муниципальных учреждениях здравоохранения в расчете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 медицинских сестер участковых и медицинских сестер врачей общей практики в расчете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прочего персонала,  в том числе младшего медицинского персонала, муниципальных учреждений здравоохранения в расчете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Средняя продолжительность пребывания пациента на койке в круглосуточном стационаре муниципальных учреждений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44.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Среднегодовая занятость койки в муниципальных учреждениях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коек в муниципальных учреждениях здравоохранения на 10 тыс. человек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Фактическая стоимость 1 койко-дня в муниципальных учреждениях здравоохранения без учета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1 962,00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2 135,00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Фактическая стоимость вызова скорой медицинской помощи без учета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Объем медицинской помощи, предоставляемой муниципальными учреждениями здравоохранения в расчете на одного жителя: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стационарная медицинская помощь</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койко-дней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амбулаторная помощь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посещений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2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дневные стационары всех типов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пациенто-дней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скорая медицинская помощь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вызовов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0,37</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0,40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Стоимость единицы объема оказанной медицинской помощи муниципальными учреждениями здравоохранения: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стационарная медицинская помощь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3 656,00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4 429,00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амбулаторная помощь</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532,00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496,00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дневные стационары всех типов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891,00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1 262,00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скорая медицинская помощь</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1 840,00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2 104,00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муниципальных учреждений здравоохранения, здания которых находятся в аварийном состоянии или требуют капитального ремонта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здравоохранение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101 404,00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120 993,40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146 838,00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1 076,40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1 115,10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здравоохранение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2 735,60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3 282,50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12 845,20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здравоохранение в части текущих расходов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98 668,40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117 710,90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133 992,80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1 076,35</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1 115,10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здравоохранение в части текущих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30 053,70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33 480,80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31 368,90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4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III. ДОШКОЛЬНОЕ ОБРАЗОВАНИЕ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76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55.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качеством дошкольного образования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44,60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53,20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детей в возрасте 3 - 7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359,00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405,00</w:t>
            </w:r>
          </w:p>
        </w:tc>
      </w:tr>
      <w:tr w:rsidR="00776D49" w:rsidRPr="00323673" w:rsidTr="0018518D">
        <w:trPr>
          <w:trHeight w:val="189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детей в возрасте 3 - 7 лет, получающих дошкольную образовательную услугу и (или) услугу по их содержанию в  негосударственных (немуниципальных) дошкольных образовательных учреждениях</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5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из них численность детей в возрасте 3 - 7 лет, получающих дошкольную образовательную услугу и (или) услугу по их содержанию в негосударственных (немуниципальных) дошкольных образовательных учреждениях за счет средств бюджета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детей в возрасте от 3 до 7 лет в муниципальном образовании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418,00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420,00</w:t>
            </w:r>
          </w:p>
        </w:tc>
      </w:tr>
      <w:tr w:rsidR="00776D49" w:rsidRPr="00323673" w:rsidTr="0018518D">
        <w:trPr>
          <w:trHeight w:val="160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60.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Коэффициент посещаемости муниципальных дошкольных   образовательных учреждений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0,71</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0,66</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0,66</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0,66</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дошкольных образовательных учреждений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лиц с высшим профессиональным образованием в общей численности педагогических работников муниципальных дошкольных 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15,80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16,60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17,40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дошкольное образование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91 043,00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93 314,00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121 798,53</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125 452,49</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129 968,78</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дошкольное образование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1 432,50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1 599,30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1 590,52</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1 638,24</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1 697,22</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дошкольное образование в части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45 391,80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45 259,10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63 878,03</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65 794,37</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68 163,97</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IV. ОБЩЕЕ И ДОПОЛНИТЕЛЬНОЕ ОБРАЗОВАНИЕ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76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67.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качеством общего образования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43,50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43,90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качеством дополнительного образования детей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r>
      <w:tr w:rsidR="00776D49" w:rsidRPr="00323673" w:rsidTr="0018518D">
        <w:trPr>
          <w:trHeight w:val="216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94,00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 участвовавших в едином государственном экзамене по русскому языку</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 сдавших единый государственный экзамен по русскому языку</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 участвовавших в едином государственном экзамене по математике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73.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 сдавших единый государственный экзамен по математике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 не получивших аттестат о среднем (полном) образовании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выпускников муниципальных общеобразовательных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112,00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6,93</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13,83</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13,83</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13,83</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13,83</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общеобразовательных учреждений, расположенных в городской местности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общеобразовательных учреждений, расположенных в сельской местности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80.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лиц, обучающихся в муниципальных общеобразовательных учреждениях, расположенных в городской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455,00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лиц, обучающихся в муниципальных общеобразовательных учреждениях, расположенных в сельской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488,00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детей первой и второй групп здоровья в общей численности обучающихся в муниципальных общеобразовательных учреждениях</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78,30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работников муниципальных общеобразовательных учреждений, расположенных в городской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работников муниципальных  общеобразовательных  учреждений, расположенных в  сельской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213,00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213,00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213,00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учителей муниципальных общеобразовательных учреждений, расположенных в городской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учителей муниципальных общеобразовательных учреждений, расположенных в сельской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55,00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57,00</w:t>
            </w: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87.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учебного процесса) муниципальных общеобразовательных учреждений, расположенных в  городской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r>
      <w:tr w:rsidR="00776D49" w:rsidRPr="00323673" w:rsidTr="0018518D">
        <w:trPr>
          <w:trHeight w:val="243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прочего персонала (административно-управленческого, учебно-вспомогательного, младшего обслуживающего персонала, а  также педагогических работников, не осуществляющих учебного процесса) муниципальных общеобразовательных учреждений, расположенных в сельской местности  (среднегодовая)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186,00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141,00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классов в муниципальных общеобразовательных учреждениях, расположенных в  городской местности (среднегодовое)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классов в муниципальных общеобразовательных учреждениях, расположенных в сельской местности (среднегодовое)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51,00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91.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Средняя стоимость содержания одного класса в муниципальных общеобразовательных учреждениях в городском округе (муниципальном районе)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580 077,00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640 893,00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660 000,00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660 000,00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660 000,00</w:t>
            </w:r>
          </w:p>
        </w:tc>
      </w:tr>
      <w:tr w:rsidR="00776D49" w:rsidRPr="00323673" w:rsidTr="0018518D">
        <w:trPr>
          <w:trHeight w:val="7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общее образование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240 933,09</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210 974,90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228 202,20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235 048,30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243 510,04</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общее образование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4 212,84</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2 086,20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3 800,80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3 914,82</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4 055,75</w:t>
            </w:r>
          </w:p>
        </w:tc>
      </w:tr>
      <w:tr w:rsidR="00776D49" w:rsidRPr="00323673" w:rsidTr="0018518D">
        <w:trPr>
          <w:trHeight w:val="7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общее образование в части текущих расходов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236 720,25</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208 888,70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224 401,43</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231 133,47</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239 454,27</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общее образование в части текущих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130 311,07</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127 543,20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149 459,38</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153 943,16</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159 485,10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общеобразовательных учреждений, переведенных на нормативное подушевое финансирование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общеобразовательных учреждений, переведенных на новую (отраслевую) систему оплаты труда, ориентированную на результат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8,00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98.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1 639,00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1 598,00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1 200,00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детей в возрасте 5 - 18 лет в городском округе (муниципальном районе)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1 694,00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1 286,00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1 210,00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1 210,00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1 210,00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дополнительное образование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26 661,30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24 369,10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32 851,26</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33 836,80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35 054,92</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дополнительное образование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136,30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381,90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382,41</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393,88</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408,06</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дополнительное образование в части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17 369,70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19 294,20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26 386,24</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27 177,83</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28 156,23</w:t>
            </w:r>
          </w:p>
        </w:tc>
      </w:tr>
      <w:tr w:rsidR="00776D49" w:rsidRPr="00323673" w:rsidTr="0018518D">
        <w:trPr>
          <w:trHeight w:val="39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V. ФИЗИЧЕСКАЯ КУЛЬТУРА И СПОРТ</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лиц, систематически занимающихся  физической культурой и спортом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1 380,00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1 501,00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980,00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942,00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1 380,00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Уровень фактической обеспеченности учреждениями физической культуры и спорта в городском округе (муниципальном районе) от нормативной потребности: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спортивными залами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7,20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7,90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8,20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8,70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плоскостными спортивными сооружениями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162,50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174,20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176,60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183,90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194,50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плавательными бассейнами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83,00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77,30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81,70</w:t>
            </w:r>
          </w:p>
        </w:tc>
      </w:tr>
      <w:tr w:rsidR="00776D49" w:rsidRPr="00323673" w:rsidTr="0018518D">
        <w:trPr>
          <w:trHeight w:val="76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физическую культуру и спорт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12683,91</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704,60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10 700,00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1 105,30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1 145,10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VI. ЖИЛИЩНОЕ СТРОИТЕЛЬСТВО И ОБЕСПЕЧЕНИЕ ГРАЖДАН ЖИЛЬЕМ</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Общая площадь жилых помещений, приходящаяся в среднем на одного жителя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28,80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29,90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31,30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32,60</w:t>
            </w:r>
          </w:p>
        </w:tc>
      </w:tr>
      <w:tr w:rsidR="00776D49" w:rsidRPr="00323673" w:rsidTr="0018518D">
        <w:trPr>
          <w:trHeight w:val="55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 введенная в действие за год</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жилых квартир в расчете на 1 тыс. человек населения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840,00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937,00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977,00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1 020,00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 введенных в действие за год</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Объем жилищного строительства, предусмотренный в соответствии с выданными разрешениями на строительство жилых зданий:</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общая площадь жилых помещений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кв. метров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число жилых квартир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Год утверждения или внесения последних изменений:</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генеральный план городского округа (схему территориального планирования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год</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2 010,00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правила землепользования и застройки городского округа (административного центра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год</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комплексную программу развития коммунальной инфраструктуры</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год</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2 011,00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40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VII. ЖИЛИЩНО-КОММУНАЛЬНОЕ ХОЗЯЙСТВО</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7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жилищно-коммунальными услугами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8,70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20,90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многоквартирных домов, в которых собственники помещений выбрали и реализуют один из  способов управления многоквартирными домами:</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непосредственное управление собственниками помещений в многоквартирном доме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0,47</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управление товариществом собственников жилья либо жилищным кооперативом или иным специализированным  потребительским кооперативом</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управление муниципальным или государственным учреждением либо предприятием</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управление управляющей организацией частной формы собственности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управление хозяйственным обществом с долей участия в уставном капитале субъекта Российской Федерации и (или) городского округа (муниципального района) не  более 25 процентов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70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67,00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67,00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67,00</w:t>
            </w:r>
          </w:p>
        </w:tc>
      </w:tr>
      <w:tr w:rsidR="00776D49" w:rsidRPr="00323673" w:rsidTr="0018518D">
        <w:trPr>
          <w:trHeight w:val="486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113.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Доля организаций, осуществляющих управление многоквартирными домами и  (или) оказание услуг по содержанию и ремонту общего имущества в многоквартирных домах,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осуществляющих данные виды деятельности на территории городского округа (муниципального района), кроме товариществ собственников жилья, жилищных, жилищно-строительных кооперативов и иных специализированных потребительских кооперативов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16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энергетических ресурсов,  расчеты за потребление которых осуществляются на основании показаний приборов учета, в  общем объеме энергетических ресурсов, потребляемых на территории городского округа,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электрическая энергия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тепловая энергия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0,63</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горячая вода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холодная вода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46,70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47,50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48,20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природный газ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115.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Уровень собираемости платежей за предоставленные жилищно-коммунальные услуги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87,70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95,00</w:t>
            </w:r>
          </w:p>
        </w:tc>
      </w:tr>
      <w:tr w:rsidR="00776D49" w:rsidRPr="00323673" w:rsidTr="0018518D">
        <w:trPr>
          <w:trHeight w:val="7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подписанных паспортов готовности  (по состоянию на 15 ноября отчетного года):</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жилищного фонда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котельных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Отношение тарифов для промышленных потребителей к тарифам для населения: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 водоснабжению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 водоотведению</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убыточных организаций жилищно-коммунального хозяйства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119.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56,40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57,30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населения, проживающего в многоквартирных домах, признанных в установленном порядке аварийными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0,06</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0,06</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0,06</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0,06</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0,06</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жилищно-коммунальное хозяйство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279 739,90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391 441,50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400 414,10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392 341,50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406 465,00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объем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4 710,20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1 629,70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3 300,00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2 520,00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3 000,00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расходы на компенсацию разницы между экономически обоснованными тарифами и тарифами, установленными для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расходы на покрытие  убытков, возникших в связи с применением регулируемых цен на жилищно-коммунальные услуги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251 651,40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219 182,90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380 914,10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392 341,50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406 465,00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VIII. Организация муниципального управления</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34,80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муниципальных автономных учреждений от общего числа  муниципальных учреждений (бюджетных и автономных) в городском округе (муниципальном районе)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16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9,78</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8,20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8,20</w:t>
            </w:r>
          </w:p>
        </w:tc>
      </w:tr>
      <w:tr w:rsidR="00776D49" w:rsidRPr="00323673" w:rsidTr="0018518D">
        <w:trPr>
          <w:trHeight w:val="16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125.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населения, участвующего в платных культурно-досуговых  мероприятиях, организованных  органами местного  самоуправления городских  округов и муниципальных районов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214,20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252,50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250,00</w:t>
            </w:r>
          </w:p>
        </w:tc>
      </w:tr>
      <w:tr w:rsidR="00776D49" w:rsidRPr="00323673" w:rsidTr="0018518D">
        <w:trPr>
          <w:trHeight w:val="11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Уровень фактической  обеспеченности учреждениями культуры в городском округе (муниципальном районе) от  нормативной потребности:</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4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клубами и учреждениями клубного типа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59,60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библиотеками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парками культуры и отдыха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Удовлетворенность населения качеством предоставляемых услуг в сфере культуры  (качеством культурного обслуживания)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 от числа опрошенных</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43,50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54,30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культуру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48 498,56</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59 479,15</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95 314,40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98 173,80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101 708,10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культуру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1 010,80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1 316,88</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2 895,00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2 981,90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3 089,30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культуру в части расходов на оплату труда и начислений на  оплату труда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30 937,85</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37 641,92</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58 966,50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60 735,50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62 922,00</w:t>
            </w:r>
          </w:p>
        </w:tc>
      </w:tr>
      <w:tr w:rsidR="00776D49" w:rsidRPr="00323673" w:rsidTr="0018518D">
        <w:trPr>
          <w:trHeight w:val="192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131.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12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132. </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7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трудоустроенных граждан, в общей численности граждан, обратившихся за содействием в  государственные службы  занятости населения с целью поиска подходящей работы</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50,90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70,00</w:t>
            </w:r>
          </w:p>
        </w:tc>
      </w:tr>
      <w:tr w:rsidR="00776D49" w:rsidRPr="00323673" w:rsidTr="0018518D">
        <w:trPr>
          <w:trHeight w:val="106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Утверждение бюджета на 3 года (данный показатель оценивается, если субъект Российской Федерации перешел на 3-летний бюджет)</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да/нет</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нет</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нет</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нет</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нет</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нет</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Среднегодовая численность постоянного населения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8,30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7,90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7,60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6,90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136.</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населения на начало года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7,70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7,10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137.</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Численность населения на конец года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человек</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8,10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7,70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7,10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6,80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999 909,89</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1 136 270,85</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1 290 874,10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1 329 600,30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1 377 465,90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 в части бюджетных инвестиций на увеличение стоимости основных средств</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29 857,11</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15 287,96</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36 213,40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37 299,80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38 642,90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138.1.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консолидированного бюджета муниципального района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1 028 709,60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1 171 346,30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1 333 122,52</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1 373 116,20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1 422 548,40</w:t>
            </w:r>
          </w:p>
        </w:tc>
      </w:tr>
      <w:tr w:rsidR="00776D49" w:rsidRPr="00323673" w:rsidTr="0018518D">
        <w:trPr>
          <w:trHeight w:val="11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139.</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Общий объем расходов бюджета муниципального образования на содержание  работников органов  местного самоуправления -  всего</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55 585,00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60 327,10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69 846,00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71 941,40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74 531,30</w:t>
            </w:r>
          </w:p>
        </w:tc>
      </w:tr>
      <w:tr w:rsidR="00776D49" w:rsidRPr="00323673" w:rsidTr="0018518D">
        <w:trPr>
          <w:trHeight w:val="52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 том числе в расчете на одного жителя муниципального образования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5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139.1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Нормативный объём расходов бюджета на содержание органов местного самоуправления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тыс. рублей</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78 473,40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90 001,50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93 702,20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96 513,30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99 987,70</w:t>
            </w:r>
          </w:p>
        </w:tc>
      </w:tr>
      <w:tr w:rsidR="00776D49" w:rsidRPr="00323673" w:rsidTr="0018518D">
        <w:trPr>
          <w:trHeight w:val="19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140.</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расходов бюджета городского округа (муниципального района), формируемых в рамках программ, в общем объеме расходов бюджета городского округа (муниципального района), без учета субвенций на исполнение делегируемых полномочий</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12,1</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141.</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муниципальных услуг, предоставляемых органами местного самоуправления, муниципальными учреждениями в электронном виде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54,00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66,00</w:t>
            </w:r>
          </w:p>
        </w:tc>
      </w:tr>
      <w:tr w:rsidR="00776D49" w:rsidRPr="00323673" w:rsidTr="0018518D">
        <w:trPr>
          <w:trHeight w:val="108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142.</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xml:space="preserve">Количество муниципальных услуг, предоставляемых органами местного </w:t>
            </w:r>
            <w:r w:rsidRPr="00323673">
              <w:rPr>
                <w:rFonts w:eastAsia="Times New Roman" w:cs="Times New Roman"/>
                <w:szCs w:val="28"/>
                <w:lang w:eastAsia="ru-RU"/>
              </w:rPr>
              <w:lastRenderedPageBreak/>
              <w:t>самоуправления, муниципальными учреждениями</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72,00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143.</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Количество первоочередных муниципальных услуг, предоставляемых органами местного самоуправления и муниципальными учреждениями в электронном виде</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20,00</w:t>
            </w:r>
          </w:p>
        </w:tc>
      </w:tr>
      <w:tr w:rsidR="00776D49" w:rsidRPr="00323673" w:rsidTr="0018518D">
        <w:trPr>
          <w:trHeight w:val="54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IX. ЭНЕРГОСБЕРЕЖЕНИЕ И ПОВЫШЕНИЕ ЭНЕРГЕТИЧЕСКОЙ ЭФФЕКТИВНОСТИ</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79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144.</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Удельная величина потребления энергетических ресурсов в многоквартирных домах:</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электрическая энергия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кВт·ч на 1 проживающего</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1 732,80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1 786,00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1 808,00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1 997,10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2 019,10</w:t>
            </w:r>
          </w:p>
        </w:tc>
      </w:tr>
      <w:tr w:rsidR="00776D49" w:rsidRPr="00323673" w:rsidTr="0018518D">
        <w:trPr>
          <w:trHeight w:val="7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тепловая энергия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Гкал на 1 кв. метр общей площади</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0,20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0,22</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0,22</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0,22</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0,22</w:t>
            </w:r>
          </w:p>
        </w:tc>
      </w:tr>
      <w:tr w:rsidR="00776D49" w:rsidRPr="00323673" w:rsidTr="0018518D">
        <w:trPr>
          <w:trHeight w:val="1035"/>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горячая вода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куб. метров на 1 проживающего</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холодная вода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куб. метров на 1 проживающего</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7,35</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7,54</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7,67</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8,47</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8,60</w:t>
            </w:r>
          </w:p>
        </w:tc>
      </w:tr>
      <w:tr w:rsidR="00776D49" w:rsidRPr="00323673" w:rsidTr="0018518D">
        <w:trPr>
          <w:trHeight w:val="13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природный газ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куб. метров на 1 проживающего</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10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145.</w:t>
            </w: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Удельная величина потребления энергетических ресурсов муниципальными бюджетными учреждениями</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электрическая энергия</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кВт·ч на 1 человека населения</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456,10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455,40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454,70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454,10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453,40</w:t>
            </w:r>
          </w:p>
        </w:tc>
      </w:tr>
      <w:tr w:rsidR="00776D49" w:rsidRPr="00323673" w:rsidTr="0018518D">
        <w:trPr>
          <w:trHeight w:val="8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тепловая энергия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Гкал на 1 человека населения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0,80</w:t>
            </w:r>
          </w:p>
        </w:tc>
      </w:tr>
      <w:tr w:rsidR="00776D49" w:rsidRPr="00323673" w:rsidTr="0018518D">
        <w:trPr>
          <w:trHeight w:val="105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горячая вода                  </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куб. метров на 1 человека населения</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холодная вода</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4,42</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4,54</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4,61</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4,68</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4,75</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природный газ</w:t>
            </w:r>
          </w:p>
        </w:tc>
        <w:tc>
          <w:tcPr>
            <w:tcW w:w="162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w:t>
            </w:r>
          </w:p>
        </w:tc>
        <w:tc>
          <w:tcPr>
            <w:tcW w:w="1099"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681"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992"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1924"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83"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Отвественный (Ф.И.О.):</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Контактный телефон:</w:t>
            </w: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7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5666" w:type="dxa"/>
            <w:vAlign w:val="center"/>
            <w:hideMark/>
          </w:tcPr>
          <w:p w:rsidR="00776D49" w:rsidRPr="00323673" w:rsidRDefault="00776D49" w:rsidP="00323673">
            <w:pPr>
              <w:rPr>
                <w:rFonts w:eastAsia="Times New Roman" w:cs="Times New Roman"/>
                <w:szCs w:val="28"/>
                <w:lang w:eastAsia="ru-RU"/>
              </w:rPr>
            </w:pPr>
          </w:p>
        </w:tc>
        <w:tc>
          <w:tcPr>
            <w:tcW w:w="1621" w:type="dxa"/>
            <w:vAlign w:val="center"/>
            <w:hideMark/>
          </w:tcPr>
          <w:p w:rsidR="00776D49" w:rsidRPr="00323673" w:rsidRDefault="00776D49" w:rsidP="00323673">
            <w:pPr>
              <w:rPr>
                <w:rFonts w:eastAsia="Times New Roman" w:cs="Times New Roman"/>
                <w:szCs w:val="28"/>
                <w:lang w:eastAsia="ru-RU"/>
              </w:rPr>
            </w:pPr>
          </w:p>
        </w:tc>
        <w:tc>
          <w:tcPr>
            <w:tcW w:w="1099" w:type="dxa"/>
            <w:vAlign w:val="center"/>
            <w:hideMark/>
          </w:tcPr>
          <w:p w:rsidR="00776D49" w:rsidRPr="00323673" w:rsidRDefault="00776D49" w:rsidP="00323673">
            <w:pPr>
              <w:rPr>
                <w:rFonts w:eastAsia="Times New Roman" w:cs="Times New Roman"/>
                <w:szCs w:val="28"/>
                <w:lang w:eastAsia="ru-RU"/>
              </w:rPr>
            </w:pP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r w:rsidR="00776D49" w:rsidRPr="00323673" w:rsidTr="0018518D">
        <w:trPr>
          <w:trHeight w:val="2610"/>
          <w:tblCellSpacing w:w="0" w:type="dxa"/>
        </w:trPr>
        <w:tc>
          <w:tcPr>
            <w:tcW w:w="601" w:type="dxa"/>
            <w:vAlign w:val="center"/>
            <w:hideMark/>
          </w:tcPr>
          <w:p w:rsidR="00776D49" w:rsidRPr="00323673" w:rsidRDefault="00776D49" w:rsidP="00323673">
            <w:pPr>
              <w:rPr>
                <w:rFonts w:eastAsia="Times New Roman" w:cs="Times New Roman"/>
                <w:szCs w:val="28"/>
                <w:lang w:eastAsia="ru-RU"/>
              </w:rPr>
            </w:pPr>
          </w:p>
        </w:tc>
        <w:tc>
          <w:tcPr>
            <w:tcW w:w="8386" w:type="dxa"/>
            <w:gridSpan w:val="3"/>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Примечание: По согласованию с Министерством регионального развития Российской Федерации и министерства финансов Хабаровского края  показатели по доходам и расходам бюджета муниципального образования (номера в докладе главы местной администрации:  6, 7, 8, 9, 16, 51, 52, 53, 54, 64, 65, 66, 92, 93, 94, 95, 100, 101, 102, 105, 121, 124, 128, 129, 130, 138, 139, 140) предоставляются только по муниципальному району (без бюджетов поселений). </w:t>
            </w:r>
          </w:p>
        </w:tc>
        <w:tc>
          <w:tcPr>
            <w:tcW w:w="681" w:type="dxa"/>
            <w:vAlign w:val="center"/>
            <w:hideMark/>
          </w:tcPr>
          <w:p w:rsidR="00776D49" w:rsidRPr="00323673" w:rsidRDefault="00776D49" w:rsidP="00323673">
            <w:pPr>
              <w:rPr>
                <w:rFonts w:eastAsia="Times New Roman" w:cs="Times New Roman"/>
                <w:szCs w:val="28"/>
                <w:lang w:eastAsia="ru-RU"/>
              </w:rPr>
            </w:pPr>
          </w:p>
        </w:tc>
        <w:tc>
          <w:tcPr>
            <w:tcW w:w="992" w:type="dxa"/>
            <w:vAlign w:val="center"/>
            <w:hideMark/>
          </w:tcPr>
          <w:p w:rsidR="00776D49" w:rsidRPr="00323673" w:rsidRDefault="00776D49" w:rsidP="00323673">
            <w:pPr>
              <w:rPr>
                <w:rFonts w:eastAsia="Times New Roman" w:cs="Times New Roman"/>
                <w:szCs w:val="28"/>
                <w:lang w:eastAsia="ru-RU"/>
              </w:rPr>
            </w:pPr>
          </w:p>
        </w:tc>
        <w:tc>
          <w:tcPr>
            <w:tcW w:w="1924" w:type="dxa"/>
            <w:vAlign w:val="center"/>
            <w:hideMark/>
          </w:tcPr>
          <w:p w:rsidR="00776D49" w:rsidRPr="00323673" w:rsidRDefault="00776D49" w:rsidP="00323673">
            <w:pPr>
              <w:rPr>
                <w:rFonts w:eastAsia="Times New Roman" w:cs="Times New Roman"/>
                <w:szCs w:val="28"/>
                <w:lang w:eastAsia="ru-RU"/>
              </w:rPr>
            </w:pPr>
          </w:p>
        </w:tc>
        <w:tc>
          <w:tcPr>
            <w:tcW w:w="883" w:type="dxa"/>
            <w:vAlign w:val="center"/>
            <w:hideMark/>
          </w:tcPr>
          <w:p w:rsidR="00776D49" w:rsidRPr="00323673" w:rsidRDefault="00776D49" w:rsidP="00323673">
            <w:pPr>
              <w:rPr>
                <w:rFonts w:eastAsia="Times New Roman" w:cs="Times New Roman"/>
                <w:szCs w:val="28"/>
                <w:lang w:eastAsia="ru-RU"/>
              </w:rPr>
            </w:pPr>
          </w:p>
        </w:tc>
      </w:tr>
    </w:tbl>
    <w:p w:rsidR="00776D49" w:rsidRPr="00323673" w:rsidRDefault="00776D49" w:rsidP="00323673">
      <w:pPr>
        <w:rPr>
          <w:rFonts w:eastAsia="Times New Roman" w:cs="Times New Roman"/>
          <w:szCs w:val="28"/>
          <w:lang w:eastAsia="ru-RU"/>
        </w:rPr>
      </w:pPr>
    </w:p>
    <w:tbl>
      <w:tblPr>
        <w:tblW w:w="9553" w:type="dxa"/>
        <w:tblCellSpacing w:w="0" w:type="dxa"/>
        <w:tblCellMar>
          <w:left w:w="0" w:type="dxa"/>
          <w:right w:w="0" w:type="dxa"/>
        </w:tblCellMar>
        <w:tblLook w:val="04A0" w:firstRow="1" w:lastRow="0" w:firstColumn="1" w:lastColumn="0" w:noHBand="0" w:noVBand="1"/>
      </w:tblPr>
      <w:tblGrid>
        <w:gridCol w:w="210"/>
        <w:gridCol w:w="2713"/>
        <w:gridCol w:w="1255"/>
        <w:gridCol w:w="1937"/>
        <w:gridCol w:w="630"/>
        <w:gridCol w:w="630"/>
        <w:gridCol w:w="630"/>
        <w:gridCol w:w="1037"/>
        <w:gridCol w:w="630"/>
      </w:tblGrid>
      <w:tr w:rsidR="00776D49" w:rsidRPr="00323673" w:rsidTr="00776D49">
        <w:trPr>
          <w:trHeight w:val="260"/>
          <w:tblCellSpacing w:w="0" w:type="dxa"/>
        </w:trPr>
        <w:tc>
          <w:tcPr>
            <w:tcW w:w="310" w:type="dxa"/>
            <w:vAlign w:val="center"/>
            <w:hideMark/>
          </w:tcPr>
          <w:p w:rsidR="00776D49" w:rsidRPr="00323673" w:rsidRDefault="00776D49" w:rsidP="00323673">
            <w:pPr>
              <w:rPr>
                <w:rFonts w:eastAsia="Times New Roman" w:cs="Times New Roman"/>
                <w:szCs w:val="28"/>
                <w:lang w:eastAsia="ru-RU"/>
              </w:rPr>
            </w:pPr>
          </w:p>
        </w:tc>
        <w:tc>
          <w:tcPr>
            <w:tcW w:w="3000" w:type="dxa"/>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783" w:type="dxa"/>
            <w:vAlign w:val="center"/>
            <w:hideMark/>
          </w:tcPr>
          <w:p w:rsidR="00776D49" w:rsidRPr="00323673" w:rsidRDefault="00776D49" w:rsidP="00323673">
            <w:pPr>
              <w:rPr>
                <w:rFonts w:eastAsia="Times New Roman" w:cs="Times New Roman"/>
                <w:szCs w:val="28"/>
                <w:lang w:eastAsia="ru-RU"/>
              </w:rPr>
            </w:pPr>
          </w:p>
        </w:tc>
        <w:tc>
          <w:tcPr>
            <w:tcW w:w="729" w:type="dxa"/>
            <w:vAlign w:val="center"/>
            <w:hideMark/>
          </w:tcPr>
          <w:p w:rsidR="00776D49" w:rsidRPr="00323673" w:rsidRDefault="00776D49" w:rsidP="00323673">
            <w:pPr>
              <w:rPr>
                <w:rFonts w:eastAsia="Times New Roman" w:cs="Times New Roman"/>
                <w:szCs w:val="28"/>
                <w:lang w:eastAsia="ru-RU"/>
              </w:rPr>
            </w:pPr>
          </w:p>
        </w:tc>
        <w:tc>
          <w:tcPr>
            <w:tcW w:w="810" w:type="dxa"/>
            <w:vAlign w:val="center"/>
            <w:hideMark/>
          </w:tcPr>
          <w:p w:rsidR="00776D49" w:rsidRPr="00323673" w:rsidRDefault="00776D49" w:rsidP="00323673">
            <w:pPr>
              <w:rPr>
                <w:rFonts w:eastAsia="Times New Roman" w:cs="Times New Roman"/>
                <w:szCs w:val="28"/>
                <w:lang w:eastAsia="ru-RU"/>
              </w:rPr>
            </w:pPr>
          </w:p>
        </w:tc>
        <w:tc>
          <w:tcPr>
            <w:tcW w:w="810" w:type="dxa"/>
            <w:vAlign w:val="center"/>
            <w:hideMark/>
          </w:tcPr>
          <w:p w:rsidR="00776D49" w:rsidRPr="00323673" w:rsidRDefault="00776D49" w:rsidP="00323673">
            <w:pPr>
              <w:rPr>
                <w:rFonts w:eastAsia="Times New Roman" w:cs="Times New Roman"/>
                <w:szCs w:val="28"/>
                <w:lang w:eastAsia="ru-RU"/>
              </w:rPr>
            </w:pPr>
          </w:p>
        </w:tc>
        <w:tc>
          <w:tcPr>
            <w:tcW w:w="837" w:type="dxa"/>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361"/>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ПЕРЕЧЕНЬ</w:t>
            </w:r>
          </w:p>
        </w:tc>
      </w:tr>
      <w:tr w:rsidR="00776D49" w:rsidRPr="00323673" w:rsidTr="00776D49">
        <w:trPr>
          <w:trHeight w:val="361"/>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37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Васильева Андрея Николаевича, главы </w:t>
            </w:r>
          </w:p>
        </w:tc>
      </w:tr>
      <w:tr w:rsidR="00776D49" w:rsidRPr="00323673" w:rsidTr="00776D49">
        <w:trPr>
          <w:trHeight w:val="24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(Ф.И.О. главы местной администрации городского круга, муниципального района)</w:t>
            </w:r>
          </w:p>
        </w:tc>
      </w:tr>
      <w:tr w:rsidR="00776D49" w:rsidRPr="00323673" w:rsidTr="00776D49">
        <w:trPr>
          <w:trHeight w:val="24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37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Охотского муниципального района Хабаровского края</w:t>
            </w:r>
          </w:p>
        </w:tc>
      </w:tr>
      <w:tr w:rsidR="00776D49" w:rsidRPr="00323673" w:rsidTr="00776D49">
        <w:trPr>
          <w:trHeight w:val="24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7"/>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(наименование городского округа, муниципального района)</w:t>
            </w: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4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45"/>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gridSpan w:val="7"/>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1184"/>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9243" w:type="dxa"/>
            <w:gridSpan w:val="8"/>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xml:space="preserve">дополнительных показателей по вопросам организации сбора, вывоза, </w:t>
            </w:r>
            <w:r w:rsidRPr="00323673">
              <w:rPr>
                <w:rFonts w:eastAsia="Times New Roman" w:cs="Times New Roman"/>
                <w:szCs w:val="28"/>
                <w:lang w:eastAsia="ru-RU"/>
              </w:rPr>
              <w:br/>
              <w:t xml:space="preserve">утилизации и переработки бытовых и промышленных отходов, </w:t>
            </w:r>
            <w:r w:rsidRPr="00323673">
              <w:rPr>
                <w:rFonts w:eastAsia="Times New Roman" w:cs="Times New Roman"/>
                <w:szCs w:val="28"/>
                <w:lang w:eastAsia="ru-RU"/>
              </w:rPr>
              <w:br/>
              <w:t>благоустройства и озеленения территории, освещения улиц</w:t>
            </w: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Подпись</w:t>
            </w: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Дата</w:t>
            </w:r>
          </w:p>
        </w:tc>
        <w:tc>
          <w:tcPr>
            <w:tcW w:w="0" w:type="auto"/>
            <w:gridSpan w:val="2"/>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3000"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Показатели</w:t>
            </w:r>
          </w:p>
        </w:tc>
        <w:tc>
          <w:tcPr>
            <w:tcW w:w="918"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Единица измерения</w:t>
            </w:r>
          </w:p>
        </w:tc>
        <w:tc>
          <w:tcPr>
            <w:tcW w:w="1351" w:type="dxa"/>
            <w:vMerge w:val="restart"/>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Источник информации</w:t>
            </w:r>
          </w:p>
        </w:tc>
        <w:tc>
          <w:tcPr>
            <w:tcW w:w="3973" w:type="dxa"/>
            <w:gridSpan w:val="5"/>
            <w:tcBorders>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Отчётная информация</w:t>
            </w:r>
          </w:p>
        </w:tc>
      </w:tr>
      <w:tr w:rsidR="00776D49" w:rsidRPr="00323673" w:rsidTr="00776D49">
        <w:trPr>
          <w:trHeight w:val="260"/>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Merge/>
            <w:vAlign w:val="center"/>
            <w:hideMark/>
          </w:tcPr>
          <w:p w:rsidR="00776D49" w:rsidRPr="00323673" w:rsidRDefault="00776D49" w:rsidP="00323673">
            <w:pPr>
              <w:rPr>
                <w:rFonts w:eastAsia="Times New Roman" w:cs="Times New Roman"/>
                <w:szCs w:val="28"/>
                <w:lang w:eastAsia="ru-RU"/>
              </w:rPr>
            </w:pPr>
          </w:p>
        </w:tc>
        <w:tc>
          <w:tcPr>
            <w:tcW w:w="0" w:type="auto"/>
            <w:vMerge/>
            <w:vAlign w:val="center"/>
            <w:hideMark/>
          </w:tcPr>
          <w:p w:rsidR="00776D49" w:rsidRPr="00323673" w:rsidRDefault="00776D49" w:rsidP="00323673">
            <w:pPr>
              <w:rPr>
                <w:rFonts w:eastAsia="Times New Roman" w:cs="Times New Roman"/>
                <w:szCs w:val="28"/>
                <w:lang w:eastAsia="ru-RU"/>
              </w:rPr>
            </w:pPr>
          </w:p>
        </w:tc>
        <w:tc>
          <w:tcPr>
            <w:tcW w:w="0" w:type="auto"/>
            <w:vMerge/>
            <w:vAlign w:val="center"/>
            <w:hideMark/>
          </w:tcPr>
          <w:p w:rsidR="00776D49" w:rsidRPr="00323673" w:rsidRDefault="00776D49" w:rsidP="00323673">
            <w:pPr>
              <w:rPr>
                <w:rFonts w:eastAsia="Times New Roman" w:cs="Times New Roman"/>
                <w:szCs w:val="28"/>
                <w:lang w:eastAsia="ru-RU"/>
              </w:rPr>
            </w:pP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2011</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2012</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2013</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2014</w:t>
            </w:r>
          </w:p>
        </w:tc>
      </w:tr>
      <w:tr w:rsidR="00776D49" w:rsidRPr="00323673" w:rsidTr="00776D49">
        <w:trPr>
          <w:trHeight w:val="852"/>
          <w:tblCellSpacing w:w="0" w:type="dxa"/>
        </w:trPr>
        <w:tc>
          <w:tcPr>
            <w:tcW w:w="310" w:type="dxa"/>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w:t>
            </w:r>
          </w:p>
        </w:tc>
        <w:tc>
          <w:tcPr>
            <w:tcW w:w="3000" w:type="dxa"/>
            <w:tcBorders>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Отношение площади зеленых насаждений в пределах городской черты к общей площади городских земель</w:t>
            </w:r>
          </w:p>
        </w:tc>
        <w:tc>
          <w:tcPr>
            <w:tcW w:w="0" w:type="auto"/>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351"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ОМСУ городских округов</w:t>
            </w: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1,70</w:t>
            </w:r>
          </w:p>
        </w:tc>
      </w:tr>
      <w:tr w:rsidR="00776D49" w:rsidRPr="00323673" w:rsidTr="00776D49">
        <w:trPr>
          <w:trHeight w:val="1040"/>
          <w:tblCellSpacing w:w="0" w:type="dxa"/>
        </w:trPr>
        <w:tc>
          <w:tcPr>
            <w:tcW w:w="310" w:type="dxa"/>
            <w:tcBorders>
              <w:top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w:t>
            </w:r>
          </w:p>
        </w:tc>
        <w:tc>
          <w:tcPr>
            <w:tcW w:w="300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протяжённости освещённых  улиц, проездов, набережных в общей протяжённости улиц, проездов, набережных</w:t>
            </w:r>
          </w:p>
        </w:tc>
        <w:tc>
          <w:tcPr>
            <w:tcW w:w="0" w:type="auto"/>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351"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ОМСУ городских округов и муниципальных районов края</w:t>
            </w: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10,00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15,00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25,00</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30,00</w:t>
            </w:r>
          </w:p>
        </w:tc>
      </w:tr>
      <w:tr w:rsidR="00776D49" w:rsidRPr="00323673" w:rsidTr="00776D49">
        <w:trPr>
          <w:trHeight w:val="1632"/>
          <w:tblCellSpacing w:w="0" w:type="dxa"/>
        </w:trPr>
        <w:tc>
          <w:tcPr>
            <w:tcW w:w="310" w:type="dxa"/>
            <w:tcBorders>
              <w:top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3.</w:t>
            </w:r>
          </w:p>
        </w:tc>
        <w:tc>
          <w:tcPr>
            <w:tcW w:w="300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 xml:space="preserve">Количество специализированных автомобилей, используемых для уборки территории и вывоза твердых бытовых и промышленных отходов, в расчете на 1000 жителей городского округа, </w:t>
            </w:r>
            <w:r w:rsidRPr="00323673">
              <w:rPr>
                <w:rFonts w:eastAsia="Times New Roman" w:cs="Times New Roman"/>
                <w:szCs w:val="28"/>
                <w:lang w:eastAsia="ru-RU"/>
              </w:rPr>
              <w:lastRenderedPageBreak/>
              <w:t>муниципального района </w:t>
            </w:r>
          </w:p>
        </w:tc>
        <w:tc>
          <w:tcPr>
            <w:tcW w:w="918"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lastRenderedPageBreak/>
              <w:t>единиц</w:t>
            </w:r>
          </w:p>
        </w:tc>
        <w:tc>
          <w:tcPr>
            <w:tcW w:w="1351"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ОМСУ городских округов и муниципальных районов края</w:t>
            </w: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0,10</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0,10</w:t>
            </w:r>
          </w:p>
        </w:tc>
      </w:tr>
      <w:tr w:rsidR="00776D49" w:rsidRPr="00323673" w:rsidTr="00776D49">
        <w:trPr>
          <w:trHeight w:val="1025"/>
          <w:tblCellSpacing w:w="0" w:type="dxa"/>
        </w:trPr>
        <w:tc>
          <w:tcPr>
            <w:tcW w:w="310" w:type="dxa"/>
            <w:tcBorders>
              <w:top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4.</w:t>
            </w:r>
          </w:p>
        </w:tc>
        <w:tc>
          <w:tcPr>
            <w:tcW w:w="300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Наличие несанкционированных свалок на территории городского округа, муниципального района</w:t>
            </w:r>
          </w:p>
        </w:tc>
        <w:tc>
          <w:tcPr>
            <w:tcW w:w="918"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единиц</w:t>
            </w:r>
          </w:p>
        </w:tc>
        <w:tc>
          <w:tcPr>
            <w:tcW w:w="1351"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ОМСУ городских округов и муниципальных районов края</w:t>
            </w: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6,00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776D49">
        <w:trPr>
          <w:trHeight w:val="1040"/>
          <w:tblCellSpacing w:w="0" w:type="dxa"/>
        </w:trPr>
        <w:tc>
          <w:tcPr>
            <w:tcW w:w="310" w:type="dxa"/>
            <w:tcBorders>
              <w:top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5.</w:t>
            </w:r>
          </w:p>
        </w:tc>
        <w:tc>
          <w:tcPr>
            <w:tcW w:w="300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Доля утилизированных бытовых и промышленных отходов в общем объёме вывезенных отходов  </w:t>
            </w:r>
          </w:p>
        </w:tc>
        <w:tc>
          <w:tcPr>
            <w:tcW w:w="0" w:type="auto"/>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процентов</w:t>
            </w:r>
          </w:p>
        </w:tc>
        <w:tc>
          <w:tcPr>
            <w:tcW w:w="1351"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ОМСУ городских округов и муниципальных районов края</w:t>
            </w:r>
          </w:p>
        </w:tc>
        <w:tc>
          <w:tcPr>
            <w:tcW w:w="783"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729"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10"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c>
          <w:tcPr>
            <w:tcW w:w="837" w:type="dxa"/>
            <w:tcBorders>
              <w:top w:val="nil"/>
              <w:left w:val="nil"/>
            </w:tcBorders>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0,00</w:t>
            </w:r>
          </w:p>
        </w:tc>
      </w:tr>
      <w:tr w:rsidR="00776D49" w:rsidRPr="00323673" w:rsidTr="00776D49">
        <w:trPr>
          <w:trHeight w:val="260"/>
          <w:tblCellSpacing w:w="0" w:type="dxa"/>
        </w:trPr>
        <w:tc>
          <w:tcPr>
            <w:tcW w:w="310" w:type="dxa"/>
            <w:vAlign w:val="center"/>
            <w:hideMark/>
          </w:tcPr>
          <w:p w:rsidR="00776D49" w:rsidRPr="00323673" w:rsidRDefault="00776D49" w:rsidP="00323673">
            <w:pPr>
              <w:rPr>
                <w:rFonts w:eastAsia="Times New Roman" w:cs="Times New Roman"/>
                <w:szCs w:val="28"/>
                <w:lang w:eastAsia="ru-RU"/>
              </w:rPr>
            </w:pPr>
          </w:p>
        </w:tc>
        <w:tc>
          <w:tcPr>
            <w:tcW w:w="3000" w:type="dxa"/>
            <w:vAlign w:val="center"/>
            <w:hideMark/>
          </w:tcPr>
          <w:p w:rsidR="00776D49" w:rsidRPr="00323673" w:rsidRDefault="00776D49" w:rsidP="00323673">
            <w:pPr>
              <w:rPr>
                <w:rFonts w:eastAsia="Times New Roman" w:cs="Times New Roman"/>
                <w:szCs w:val="28"/>
                <w:lang w:eastAsia="ru-RU"/>
              </w:rPr>
            </w:pPr>
          </w:p>
        </w:tc>
        <w:tc>
          <w:tcPr>
            <w:tcW w:w="918" w:type="dxa"/>
            <w:vAlign w:val="center"/>
            <w:hideMark/>
          </w:tcPr>
          <w:p w:rsidR="00776D49" w:rsidRPr="00323673" w:rsidRDefault="00776D49" w:rsidP="00323673">
            <w:pPr>
              <w:rPr>
                <w:rFonts w:eastAsia="Times New Roman" w:cs="Times New Roman"/>
                <w:szCs w:val="28"/>
                <w:lang w:eastAsia="ru-RU"/>
              </w:rPr>
            </w:pPr>
          </w:p>
        </w:tc>
        <w:tc>
          <w:tcPr>
            <w:tcW w:w="1351" w:type="dxa"/>
            <w:vAlign w:val="center"/>
            <w:hideMark/>
          </w:tcPr>
          <w:p w:rsidR="00776D49" w:rsidRPr="00323673" w:rsidRDefault="00776D49" w:rsidP="00323673">
            <w:pPr>
              <w:rPr>
                <w:rFonts w:eastAsia="Times New Roman" w:cs="Times New Roman"/>
                <w:szCs w:val="28"/>
                <w:lang w:eastAsia="ru-RU"/>
              </w:rPr>
            </w:pPr>
          </w:p>
        </w:tc>
        <w:tc>
          <w:tcPr>
            <w:tcW w:w="783" w:type="dxa"/>
            <w:vAlign w:val="center"/>
            <w:hideMark/>
          </w:tcPr>
          <w:p w:rsidR="00776D49" w:rsidRPr="00323673" w:rsidRDefault="00776D49" w:rsidP="00323673">
            <w:pPr>
              <w:rPr>
                <w:rFonts w:eastAsia="Times New Roman" w:cs="Times New Roman"/>
                <w:szCs w:val="28"/>
                <w:lang w:eastAsia="ru-RU"/>
              </w:rPr>
            </w:pPr>
          </w:p>
        </w:tc>
        <w:tc>
          <w:tcPr>
            <w:tcW w:w="729" w:type="dxa"/>
            <w:vAlign w:val="center"/>
            <w:hideMark/>
          </w:tcPr>
          <w:p w:rsidR="00776D49" w:rsidRPr="00323673" w:rsidRDefault="00776D49" w:rsidP="00323673">
            <w:pPr>
              <w:rPr>
                <w:rFonts w:eastAsia="Times New Roman" w:cs="Times New Roman"/>
                <w:szCs w:val="28"/>
                <w:lang w:eastAsia="ru-RU"/>
              </w:rPr>
            </w:pPr>
          </w:p>
        </w:tc>
        <w:tc>
          <w:tcPr>
            <w:tcW w:w="810" w:type="dxa"/>
            <w:vAlign w:val="center"/>
            <w:hideMark/>
          </w:tcPr>
          <w:p w:rsidR="00776D49" w:rsidRPr="00323673" w:rsidRDefault="00776D49" w:rsidP="00323673">
            <w:pPr>
              <w:rPr>
                <w:rFonts w:eastAsia="Times New Roman" w:cs="Times New Roman"/>
                <w:szCs w:val="28"/>
                <w:lang w:eastAsia="ru-RU"/>
              </w:rPr>
            </w:pPr>
          </w:p>
        </w:tc>
        <w:tc>
          <w:tcPr>
            <w:tcW w:w="810" w:type="dxa"/>
            <w:vAlign w:val="center"/>
            <w:hideMark/>
          </w:tcPr>
          <w:p w:rsidR="00776D49" w:rsidRPr="00323673" w:rsidRDefault="00776D49" w:rsidP="00323673">
            <w:pPr>
              <w:rPr>
                <w:rFonts w:eastAsia="Times New Roman" w:cs="Times New Roman"/>
                <w:szCs w:val="28"/>
                <w:lang w:eastAsia="ru-RU"/>
              </w:rPr>
            </w:pPr>
          </w:p>
        </w:tc>
        <w:tc>
          <w:tcPr>
            <w:tcW w:w="837" w:type="dxa"/>
            <w:vAlign w:val="center"/>
            <w:hideMark/>
          </w:tcPr>
          <w:p w:rsidR="00776D49" w:rsidRPr="00323673" w:rsidRDefault="00776D49" w:rsidP="00323673">
            <w:pPr>
              <w:rPr>
                <w:rFonts w:eastAsia="Times New Roman" w:cs="Times New Roman"/>
                <w:szCs w:val="28"/>
                <w:lang w:eastAsia="ru-RU"/>
              </w:rPr>
            </w:pPr>
          </w:p>
        </w:tc>
      </w:tr>
      <w:tr w:rsidR="00776D49" w:rsidRPr="00323673" w:rsidTr="00776D49">
        <w:trPr>
          <w:trHeight w:val="1329"/>
          <w:tblCellSpacing w:w="0" w:type="dxa"/>
        </w:trPr>
        <w:tc>
          <w:tcPr>
            <w:tcW w:w="0" w:type="auto"/>
            <w:vAlign w:val="center"/>
            <w:hideMark/>
          </w:tcPr>
          <w:p w:rsidR="00776D49" w:rsidRPr="00323673" w:rsidRDefault="00776D49" w:rsidP="00323673">
            <w:pPr>
              <w:rPr>
                <w:rFonts w:eastAsia="Times New Roman" w:cs="Times New Roman"/>
                <w:szCs w:val="28"/>
                <w:lang w:eastAsia="ru-RU"/>
              </w:rPr>
            </w:pPr>
          </w:p>
        </w:tc>
        <w:tc>
          <w:tcPr>
            <w:tcW w:w="5270" w:type="dxa"/>
            <w:gridSpan w:val="3"/>
            <w:vAlign w:val="center"/>
            <w:hideMark/>
          </w:tcPr>
          <w:p w:rsidR="00776D49" w:rsidRPr="00323673" w:rsidRDefault="00776D49" w:rsidP="00323673">
            <w:pPr>
              <w:rPr>
                <w:rFonts w:eastAsia="Times New Roman" w:cs="Times New Roman"/>
                <w:szCs w:val="28"/>
                <w:lang w:eastAsia="ru-RU"/>
              </w:rPr>
            </w:pPr>
            <w:r w:rsidRPr="00323673">
              <w:rPr>
                <w:rFonts w:eastAsia="Times New Roman" w:cs="Times New Roman"/>
                <w:szCs w:val="28"/>
                <w:lang w:eastAsia="ru-RU"/>
              </w:rPr>
              <w:t>Примечание: Для муниципальных районов указанный перечень устанавливается в случае, когда решение этих вопросов осуществляется ОМСУ муниципальных районов. Необходимо указывать сколько муниципальных образований передали полномочия на районный уровень. </w:t>
            </w: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c>
          <w:tcPr>
            <w:tcW w:w="0" w:type="auto"/>
            <w:vAlign w:val="center"/>
            <w:hideMark/>
          </w:tcPr>
          <w:p w:rsidR="00776D49" w:rsidRPr="00323673" w:rsidRDefault="00776D49" w:rsidP="00323673">
            <w:pPr>
              <w:rPr>
                <w:rFonts w:eastAsia="Times New Roman" w:cs="Times New Roman"/>
                <w:szCs w:val="28"/>
                <w:lang w:eastAsia="ru-RU"/>
              </w:rPr>
            </w:pPr>
          </w:p>
        </w:tc>
      </w:tr>
    </w:tbl>
    <w:p w:rsidR="00776D49" w:rsidRPr="00323673" w:rsidRDefault="00776D49" w:rsidP="00323673">
      <w:pPr>
        <w:rPr>
          <w:szCs w:val="28"/>
        </w:rPr>
      </w:pPr>
    </w:p>
    <w:sectPr w:rsidR="00776D49" w:rsidRPr="00323673" w:rsidSect="0018518D">
      <w:pgSz w:w="16838" w:h="11906" w:orient="landscape"/>
      <w:pgMar w:top="1985"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49"/>
    <w:rsid w:val="0018518D"/>
    <w:rsid w:val="00323673"/>
    <w:rsid w:val="00447A22"/>
    <w:rsid w:val="0074675F"/>
    <w:rsid w:val="00776D49"/>
    <w:rsid w:val="007959BF"/>
    <w:rsid w:val="008A4D9A"/>
    <w:rsid w:val="00AD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D6824-AF3E-4672-84A3-E9773268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6D49"/>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D49"/>
    <w:rPr>
      <w:rFonts w:eastAsia="Times New Roman" w:cs="Times New Roman"/>
      <w:b/>
      <w:bCs/>
      <w:kern w:val="36"/>
      <w:sz w:val="48"/>
      <w:szCs w:val="48"/>
      <w:lang w:eastAsia="ru-RU"/>
    </w:rPr>
  </w:style>
  <w:style w:type="character" w:customStyle="1" w:styleId="a3">
    <w:name w:val="Основной текст Знак"/>
    <w:basedOn w:val="a0"/>
    <w:link w:val="a4"/>
    <w:uiPriority w:val="99"/>
    <w:semiHidden/>
    <w:rsid w:val="00776D49"/>
    <w:rPr>
      <w:rFonts w:eastAsia="Times New Roman" w:cs="Times New Roman"/>
      <w:sz w:val="24"/>
      <w:szCs w:val="24"/>
      <w:lang w:eastAsia="ru-RU"/>
    </w:rPr>
  </w:style>
  <w:style w:type="paragraph" w:styleId="a4">
    <w:name w:val="Body Text"/>
    <w:basedOn w:val="a"/>
    <w:link w:val="a3"/>
    <w:uiPriority w:val="99"/>
    <w:semiHidden/>
    <w:unhideWhenUsed/>
    <w:rsid w:val="00776D49"/>
    <w:pPr>
      <w:spacing w:before="100" w:beforeAutospacing="1" w:after="100" w:afterAutospacing="1"/>
      <w:jc w:val="left"/>
    </w:pPr>
    <w:rPr>
      <w:rFonts w:eastAsia="Times New Roman" w:cs="Times New Roman"/>
      <w:sz w:val="24"/>
      <w:szCs w:val="24"/>
      <w:lang w:eastAsia="ru-RU"/>
    </w:rPr>
  </w:style>
  <w:style w:type="character" w:customStyle="1" w:styleId="a5">
    <w:name w:val="Основной текст с отступом Знак"/>
    <w:basedOn w:val="a0"/>
    <w:link w:val="a6"/>
    <w:uiPriority w:val="99"/>
    <w:semiHidden/>
    <w:rsid w:val="00776D49"/>
    <w:rPr>
      <w:rFonts w:eastAsia="Times New Roman" w:cs="Times New Roman"/>
      <w:sz w:val="24"/>
      <w:szCs w:val="24"/>
      <w:lang w:eastAsia="ru-RU"/>
    </w:rPr>
  </w:style>
  <w:style w:type="paragraph" w:styleId="a6">
    <w:name w:val="Body Text Indent"/>
    <w:basedOn w:val="a"/>
    <w:link w:val="a5"/>
    <w:uiPriority w:val="99"/>
    <w:semiHidden/>
    <w:unhideWhenUsed/>
    <w:rsid w:val="00776D49"/>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57074">
      <w:bodyDiv w:val="1"/>
      <w:marLeft w:val="0"/>
      <w:marRight w:val="0"/>
      <w:marTop w:val="0"/>
      <w:marBottom w:val="0"/>
      <w:divBdr>
        <w:top w:val="none" w:sz="0" w:space="0" w:color="auto"/>
        <w:left w:val="none" w:sz="0" w:space="0" w:color="auto"/>
        <w:bottom w:val="none" w:sz="0" w:space="0" w:color="auto"/>
        <w:right w:val="none" w:sz="0" w:space="0" w:color="auto"/>
      </w:divBdr>
      <w:divsChild>
        <w:div w:id="41830050">
          <w:marLeft w:val="0"/>
          <w:marRight w:val="0"/>
          <w:marTop w:val="0"/>
          <w:marBottom w:val="0"/>
          <w:divBdr>
            <w:top w:val="none" w:sz="0" w:space="0" w:color="auto"/>
            <w:left w:val="none" w:sz="0" w:space="0" w:color="auto"/>
            <w:bottom w:val="none" w:sz="0" w:space="0" w:color="auto"/>
            <w:right w:val="none" w:sz="0" w:space="0" w:color="auto"/>
          </w:divBdr>
          <w:divsChild>
            <w:div w:id="1561597223">
              <w:marLeft w:val="0"/>
              <w:marRight w:val="0"/>
              <w:marTop w:val="0"/>
              <w:marBottom w:val="0"/>
              <w:divBdr>
                <w:top w:val="none" w:sz="0" w:space="0" w:color="auto"/>
                <w:left w:val="none" w:sz="0" w:space="0" w:color="auto"/>
                <w:bottom w:val="none" w:sz="0" w:space="0" w:color="auto"/>
                <w:right w:val="none" w:sz="0" w:space="0" w:color="auto"/>
              </w:divBdr>
            </w:div>
          </w:divsChild>
        </w:div>
        <w:div w:id="1655530859">
          <w:marLeft w:val="0"/>
          <w:marRight w:val="0"/>
          <w:marTop w:val="0"/>
          <w:marBottom w:val="0"/>
          <w:divBdr>
            <w:top w:val="none" w:sz="0" w:space="0" w:color="auto"/>
            <w:left w:val="none" w:sz="0" w:space="0" w:color="auto"/>
            <w:bottom w:val="none" w:sz="0" w:space="0" w:color="auto"/>
            <w:right w:val="none" w:sz="0" w:space="0" w:color="auto"/>
          </w:divBdr>
          <w:divsChild>
            <w:div w:id="559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75</Pages>
  <Words>18021</Words>
  <Characters>102721</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Борисовна Розумчук</dc:creator>
  <cp:keywords/>
  <dc:description/>
  <cp:lastModifiedBy>Надежда Борисовна Розумчук</cp:lastModifiedBy>
  <cp:revision>2</cp:revision>
  <dcterms:created xsi:type="dcterms:W3CDTF">2018-05-16T02:05:00Z</dcterms:created>
  <dcterms:modified xsi:type="dcterms:W3CDTF">2018-06-04T07:27:00Z</dcterms:modified>
</cp:coreProperties>
</file>