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F6" w:rsidRPr="00A708F6" w:rsidRDefault="00A708F6" w:rsidP="00A708F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708F6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A708F6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A708F6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A708F6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A708F6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A708F6" w:rsidRPr="00A708F6" w:rsidRDefault="00A708F6" w:rsidP="00A708F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708F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A708F6" w:rsidRPr="00A708F6" w:rsidRDefault="00A708F6" w:rsidP="00A708F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708F6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№0122300008919000011</w:t>
      </w:r>
    </w:p>
    <w:p w:rsidR="00A708F6" w:rsidRPr="00A708F6" w:rsidRDefault="00A708F6" w:rsidP="00A708F6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708F6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A708F6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23.04.2019 9:07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A708F6" w:rsidRPr="00A708F6" w:rsidRDefault="00A708F6" w:rsidP="00A708F6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708F6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A708F6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23.04.2019 №0122300008919000011</w:t>
        </w:r>
      </w:hyperlink>
      <w:r w:rsidRPr="00A708F6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708F6" w:rsidRPr="00A708F6" w:rsidRDefault="00A708F6" w:rsidP="00A708F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8F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5838"/>
      </w:tblGrid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Генерируется автоматически после размещения 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A708F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выборочному капитальному ремонту здания МКОУ СОШ имени С.С. </w:t>
            </w:r>
            <w:proofErr w:type="spellStart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Вострецова</w:t>
            </w:r>
            <w:proofErr w:type="spellEnd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A708F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2019082230000380010000060001 (ИКЗ: 193271500407827150100100060010000243)</w:t>
              </w:r>
            </w:hyperlink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708F6" w:rsidRPr="00A708F6" w:rsidRDefault="00A708F6" w:rsidP="00A708F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8F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A708F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A708F6" w:rsidRPr="00A708F6" w:rsidRDefault="00A708F6" w:rsidP="00A708F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8F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23.04.2019 09:07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12.05.2019 10:00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13.05.2019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16.05.2019 (на основании действующей редакции извещения) 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10:02 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708F6" w:rsidRPr="00A708F6" w:rsidRDefault="00A708F6" w:rsidP="00A708F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8F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3 799 982,00 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A708F6" w:rsidRPr="00A708F6" w:rsidRDefault="00A708F6" w:rsidP="00A708F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8F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1392"/>
        <w:gridCol w:w="1170"/>
        <w:gridCol w:w="1263"/>
        <w:gridCol w:w="1255"/>
        <w:gridCol w:w="1255"/>
        <w:gridCol w:w="1082"/>
      </w:tblGrid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A708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A708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A708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708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A708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708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646"/>
              <w:gridCol w:w="646"/>
            </w:tblGrid>
            <w:tr w:rsidR="00A708F6" w:rsidRPr="00A708F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43.32.10.110 </w:t>
            </w:r>
          </w:p>
          <w:p w:rsidR="00A708F6" w:rsidRPr="00A708F6" w:rsidRDefault="00A708F6" w:rsidP="00A708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3 000 000,00 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3 000 000,00 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08F6" w:rsidRPr="00A708F6" w:rsidTr="00A708F6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 xml:space="preserve">МУНИЦИПАЛЬНОЕ КАЗЁННОЕ ОБЩЕОБРАЗОВАТЕЛЬНОЕ УЧРЕЖДЕНИЕ СРЕДНЯЯ ОБЩЕОБРАЗОВАТЕЛЬНАЯ ШКОЛА ИМЕНИ С.С.ВОСТРЕЦОВА СЕЛЬСКОГО </w:t>
            </w:r>
            <w:r w:rsidRPr="00A708F6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lastRenderedPageBreak/>
              <w:t>ПОСЕЛЕНИЯ "СЕЛО ВОСТРЕЦОВО"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с </w:t>
            </w:r>
            <w:proofErr w:type="spellStart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пециализированные</w:t>
            </w:r>
            <w:proofErr w:type="spellEnd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646"/>
              <w:gridCol w:w="646"/>
            </w:tblGrid>
            <w:tr w:rsidR="00A708F6" w:rsidRPr="00A708F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43.99.90.190 </w:t>
            </w:r>
          </w:p>
          <w:p w:rsidR="00A708F6" w:rsidRPr="00A708F6" w:rsidRDefault="00A708F6" w:rsidP="00A708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799 982,00 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799 982,00 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08F6" w:rsidRPr="00A708F6" w:rsidTr="00A708F6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КАЗЁННОЕ ОБЩЕОБРАЗОВАТЕЛЬНОЕ УЧРЕЖДЕНИЕ СРЕДНЯЯ ОБЩЕОБРАЗОВАТЕЛЬНАЯ ШКОЛА ИМЕНИ С.С.ВОСТРЕЦОВА СЕЛЬСКОГО ПОСЕЛЕНИЯ "СЕЛО ВОСТРЕЦОВО"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8F6" w:rsidRPr="00A708F6" w:rsidTr="00A708F6">
        <w:tc>
          <w:tcPr>
            <w:tcW w:w="0" w:type="auto"/>
            <w:gridSpan w:val="5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3 799 982,00 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A708F6" w:rsidRPr="00A708F6" w:rsidRDefault="00A708F6" w:rsidP="00A708F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8F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A708F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A708F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7511"/>
      </w:tblGrid>
      <w:tr w:rsidR="00A708F6" w:rsidRPr="00A708F6" w:rsidTr="00A708F6">
        <w:tc>
          <w:tcPr>
            <w:tcW w:w="0" w:type="auto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A708F6" w:rsidRPr="00A708F6" w:rsidTr="00A708F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08F6" w:rsidRPr="00A708F6" w:rsidTr="00A708F6">
        <w:tc>
          <w:tcPr>
            <w:tcW w:w="0" w:type="auto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A708F6" w:rsidRPr="00A708F6" w:rsidTr="00A708F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08F6" w:rsidRPr="00A708F6" w:rsidTr="00A708F6">
        <w:tc>
          <w:tcPr>
            <w:tcW w:w="0" w:type="auto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A70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A708F6" w:rsidRPr="00A708F6" w:rsidTr="00A708F6"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аукциона должен представить действующую выписку из реестра членов СРО по форме, которая утверждена Приказом </w:t>
            </w:r>
            <w:proofErr w:type="spellStart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Ростехнадзора</w:t>
            </w:r>
            <w:proofErr w:type="spellEnd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16.02.2017 N 58. Требования не распространяются: - на участников, которые предложат цену контракта 3 млн руб. и менее. Такие участники не обязаны быть членами СРО в силу ч. 2.1 ст. 52 </w:t>
            </w:r>
            <w:proofErr w:type="spellStart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ГрК</w:t>
            </w:r>
            <w:proofErr w:type="spellEnd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РФ; - на унитарные предприятия, государственные и муниципальные учреждения, </w:t>
            </w:r>
            <w:proofErr w:type="spellStart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юр.лица</w:t>
            </w:r>
            <w:proofErr w:type="spellEnd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</w:t>
            </w:r>
            <w:proofErr w:type="spellStart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госучастием</w:t>
            </w:r>
            <w:proofErr w:type="spellEnd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случаях, которые перечислены в ч. 2.2 ст. 52 </w:t>
            </w:r>
            <w:proofErr w:type="spellStart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ГрК</w:t>
            </w:r>
            <w:proofErr w:type="spellEnd"/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РФ. </w:t>
            </w:r>
          </w:p>
        </w:tc>
      </w:tr>
    </w:tbl>
    <w:p w:rsidR="00A708F6" w:rsidRPr="00A708F6" w:rsidRDefault="00A708F6" w:rsidP="00A708F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08F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КАЗЁННОЕ ОБЩЕОБРАЗОВАТЕЛЬНОЕ УЧРЕЖДЕНИЕ СРЕДНЯЯ ОБЩЕОБРАЗОВАТЕЛЬНАЯ ШКОЛА ИМЕНИ С.С.ВОСТРЕЦОВА СЕЛЬСКОГО ПОСЕЛЕНИЯ "СЕЛО ВОСТРЕЦОВО"»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708F6" w:rsidRPr="00A708F6" w:rsidTr="00A708F6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4"/>
              <w:gridCol w:w="5691"/>
            </w:tblGrid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Орган контроля, осуществляющий контроль по части 5 статьи 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УПРАВЛЕНИЕ АДМИНИСТРАЦИИ ОХОТСКОГО МУНИЦИПАЛЬНОГО РАЙОНА ХАБАРОВСКОГО КРАЯ </w:t>
                  </w:r>
                </w:p>
              </w:tc>
            </w:tr>
          </w:tbl>
          <w:p w:rsidR="00A708F6" w:rsidRPr="00A708F6" w:rsidRDefault="00A708F6" w:rsidP="00A708F6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7"/>
              <w:gridCol w:w="6848"/>
            </w:tblGrid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9" w:history="1">
                    <w:r w:rsidRPr="00A708F6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 xml:space="preserve">2019082230000380010000060001 (ИКЗ: 193271500407827150100100060010000243) </w:t>
                    </w:r>
                  </w:hyperlink>
                </w:p>
              </w:tc>
            </w:tr>
          </w:tbl>
          <w:p w:rsidR="00A708F6" w:rsidRPr="00A708F6" w:rsidRDefault="00A708F6" w:rsidP="00A708F6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3 799 982,00 </w:t>
                  </w:r>
                </w:p>
              </w:tc>
            </w:tr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193271500407827150100100060010000243 </w:t>
                  </w:r>
                </w:p>
              </w:tc>
            </w:tr>
          </w:tbl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0"/>
              <w:gridCol w:w="6435"/>
            </w:tblGrid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исполнения контракта за счет бюджетных средств (Российский рубль)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7"/>
                    <w:gridCol w:w="1227"/>
                    <w:gridCol w:w="967"/>
                    <w:gridCol w:w="967"/>
                    <w:gridCol w:w="967"/>
                  </w:tblGrid>
                  <w:tr w:rsidR="00A708F6" w:rsidRPr="00A708F6">
                    <w:tc>
                      <w:tcPr>
                        <w:tcW w:w="1500" w:type="dxa"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2019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</w:tr>
                  <w:tr w:rsidR="00A708F6" w:rsidRPr="00A708F6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003070201002SС092243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3 799 982,00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  <w:tr w:rsidR="00A708F6" w:rsidRPr="00A708F6">
                    <w:tc>
                      <w:tcPr>
                        <w:tcW w:w="0" w:type="auto"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3 799 982,00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708F6" w:rsidRPr="00A708F6">
              <w:tc>
                <w:tcPr>
                  <w:tcW w:w="0" w:type="auto"/>
                  <w:vAlign w:val="bottom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Итого по КБК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3 799 982,00 </w:t>
                  </w:r>
                </w:p>
              </w:tc>
            </w:tr>
          </w:tbl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6"/>
              <w:gridCol w:w="7119"/>
            </w:tblGrid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Муниципальное казенное общеобразовательное учреждение средняя общеобразовательная школа им С.С. </w:t>
                  </w:r>
                  <w:proofErr w:type="spellStart"/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Вострецова</w:t>
                  </w:r>
                  <w:proofErr w:type="spellEnd"/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сельского поселения «Село </w:t>
                  </w:r>
                  <w:proofErr w:type="spellStart"/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Вострецово</w:t>
                  </w:r>
                  <w:proofErr w:type="spellEnd"/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», Российская Федерация, 682494, Хабаровский край, Охотский район, сельское поселение «Село </w:t>
                  </w:r>
                  <w:proofErr w:type="spellStart"/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Вострецово</w:t>
                  </w:r>
                  <w:proofErr w:type="spellEnd"/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», переулок Школьный,2 </w:t>
                  </w:r>
                </w:p>
              </w:tc>
            </w:tr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 момента заключения муниципального контракта по 15.08.2019 </w:t>
                  </w:r>
                </w:p>
              </w:tc>
            </w:tr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A708F6" w:rsidRPr="00A708F6" w:rsidRDefault="00A708F6" w:rsidP="00A708F6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7151"/>
            </w:tblGrid>
            <w:tr w:rsidR="00A708F6" w:rsidRPr="00A708F6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37 999,</w:t>
                  </w:r>
                  <w:proofErr w:type="gramStart"/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82  Российский</w:t>
                  </w:r>
                  <w:proofErr w:type="gramEnd"/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A708F6" w:rsidRPr="00A708F6" w:rsidRDefault="00A708F6" w:rsidP="00A708F6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6971"/>
            </w:tblGrid>
            <w:tr w:rsidR="00A708F6" w:rsidRPr="00A708F6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189 999,10 Российский рубль </w:t>
                  </w:r>
                </w:p>
              </w:tc>
            </w:tr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A708F6" w:rsidRPr="00A708F6" w:rsidRDefault="00A708F6" w:rsidP="00A708F6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708F6" w:rsidRPr="00A708F6" w:rsidT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A708F6" w:rsidRPr="00A708F6" w:rsidRDefault="00A708F6" w:rsidP="00A708F6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708F6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A708F6" w:rsidRPr="00A708F6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A708F6" w:rsidRPr="00A708F6">
                    <w:tc>
                      <w:tcPr>
                        <w:tcW w:w="0" w:type="auto"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23.04.2019 в 02:07</w:t>
                        </w:r>
                      </w:p>
                    </w:tc>
                  </w:tr>
                  <w:tr w:rsidR="00A708F6" w:rsidRPr="00A708F6">
                    <w:tc>
                      <w:tcPr>
                        <w:tcW w:w="0" w:type="auto"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08.05.2019 в 10:00</w:t>
                        </w:r>
                      </w:p>
                    </w:tc>
                  </w:tr>
                  <w:tr w:rsidR="00A708F6" w:rsidRPr="00A708F6">
                    <w:tc>
                      <w:tcPr>
                        <w:tcW w:w="0" w:type="auto"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708F6" w:rsidRPr="00A708F6" w:rsidRDefault="00A708F6" w:rsidP="00A70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708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      </w:r>
                      </w:p>
                    </w:tc>
                  </w:tr>
                </w:tbl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708F6" w:rsidRPr="00A708F6">
              <w:tc>
                <w:tcPr>
                  <w:tcW w:w="0" w:type="auto"/>
                  <w:vAlign w:val="center"/>
                  <w:hideMark/>
                </w:tcPr>
                <w:p w:rsidR="00A708F6" w:rsidRPr="00A708F6" w:rsidRDefault="00A708F6" w:rsidP="00A70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08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A708F6" w:rsidRPr="00A708F6" w:rsidRDefault="00A708F6" w:rsidP="00A708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708F6" w:rsidRPr="00A708F6" w:rsidRDefault="00A708F6" w:rsidP="00A708F6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708F6" w:rsidRPr="00A708F6" w:rsidRDefault="00A708F6" w:rsidP="00A708F6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293C49"/>
          <w:sz w:val="21"/>
          <w:szCs w:val="21"/>
          <w:lang w:eastAsia="ru-RU"/>
        </w:rPr>
      </w:pPr>
      <w:r w:rsidRPr="00A708F6">
        <w:rPr>
          <w:rFonts w:ascii="Tahoma" w:eastAsia="Times New Roman" w:hAnsi="Tahoma" w:cs="Tahoma"/>
          <w:sz w:val="21"/>
          <w:szCs w:val="21"/>
          <w:lang w:eastAsia="ru-RU"/>
        </w:rPr>
        <w:pict/>
      </w:r>
      <w:proofErr w:type="spellStart"/>
      <w:r w:rsidRPr="00A708F6">
        <w:rPr>
          <w:rFonts w:ascii="Tahoma" w:eastAsia="Times New Roman" w:hAnsi="Tahoma" w:cs="Tahoma"/>
          <w:b/>
          <w:bCs/>
          <w:color w:val="293C49"/>
          <w:sz w:val="21"/>
          <w:szCs w:val="21"/>
          <w:lang w:eastAsia="ru-RU"/>
        </w:rPr>
        <w:t>Online</w:t>
      </w:r>
      <w:proofErr w:type="spellEnd"/>
      <w:r w:rsidRPr="00A708F6">
        <w:rPr>
          <w:rFonts w:ascii="Tahoma" w:eastAsia="Times New Roman" w:hAnsi="Tahoma" w:cs="Tahoma"/>
          <w:b/>
          <w:bCs/>
          <w:color w:val="293C49"/>
          <w:sz w:val="21"/>
          <w:szCs w:val="21"/>
          <w:lang w:eastAsia="ru-RU"/>
        </w:rPr>
        <w:t xml:space="preserve"> доступ к закупкам/заказам</w:t>
      </w:r>
      <w:r w:rsidRPr="00A708F6">
        <w:rPr>
          <w:rFonts w:ascii="Tahoma" w:eastAsia="Times New Roman" w:hAnsi="Tahoma" w:cs="Tahoma"/>
          <w:color w:val="293C49"/>
          <w:sz w:val="21"/>
          <w:szCs w:val="21"/>
          <w:lang w:eastAsia="ru-RU"/>
        </w:rPr>
        <w:t xml:space="preserve"> </w:t>
      </w:r>
    </w:p>
    <w:p w:rsidR="00A708F6" w:rsidRPr="00A708F6" w:rsidRDefault="00A708F6" w:rsidP="00A708F6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0383D"/>
          <w:sz w:val="21"/>
          <w:szCs w:val="21"/>
          <w:lang w:eastAsia="ru-RU"/>
        </w:rPr>
      </w:pPr>
      <w:hyperlink r:id="rId10" w:tooltip="Вход для пользователей организаций, зарегистрированных в соответствии с разделом III Порядка, утвержденного приказом Федерального Казначейства от 30.12.2015 № 27н, и Порядком регистрации в ЕИС, утвержденным приказом Федерального Казначейства от 25.03.2014 № 4н" w:history="1">
        <w:r w:rsidRPr="00A708F6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t>Личный кабинет 44-ФЗ (94-ФЗ</w:t>
        </w:r>
        <w:proofErr w:type="gramStart"/>
        <w:r w:rsidRPr="00A708F6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t>),</w:t>
        </w:r>
        <w:r w:rsidRPr="00A708F6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br/>
          <w:t>прямой</w:t>
        </w:r>
        <w:proofErr w:type="gramEnd"/>
        <w:r w:rsidRPr="00A708F6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t xml:space="preserve"> вход</w:t>
        </w:r>
      </w:hyperlink>
      <w:r w:rsidRPr="00A708F6">
        <w:rPr>
          <w:rFonts w:ascii="Tahoma" w:eastAsia="Times New Roman" w:hAnsi="Tahoma" w:cs="Tahoma"/>
          <w:b/>
          <w:bCs/>
          <w:color w:val="30383D"/>
          <w:sz w:val="21"/>
          <w:szCs w:val="21"/>
          <w:lang w:eastAsia="ru-RU"/>
        </w:rPr>
        <w:t xml:space="preserve"> </w:t>
      </w:r>
    </w:p>
    <w:p w:rsidR="00A708F6" w:rsidRPr="00A708F6" w:rsidRDefault="00A708F6" w:rsidP="00A708F6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0383D"/>
          <w:sz w:val="21"/>
          <w:szCs w:val="21"/>
          <w:lang w:eastAsia="ru-RU"/>
        </w:rPr>
      </w:pPr>
      <w:hyperlink r:id="rId11" w:tooltip="Вход для пользователей организаций, зарегистрированных в соответствии с разделом V Порядка, утвержденного приказом Федерального Казначейства от 30.12.2015 № 27н" w:history="1">
        <w:r w:rsidRPr="00A708F6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t>Личный кабинет 44-</w:t>
        </w:r>
        <w:proofErr w:type="gramStart"/>
        <w:r w:rsidRPr="00A708F6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t>ФЗ,</w:t>
        </w:r>
        <w:r w:rsidRPr="00A708F6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br/>
          <w:t>вход</w:t>
        </w:r>
        <w:proofErr w:type="gramEnd"/>
        <w:r w:rsidRPr="00A708F6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t xml:space="preserve"> через ЕСИА</w:t>
        </w:r>
      </w:hyperlink>
      <w:r w:rsidRPr="00A708F6">
        <w:rPr>
          <w:rFonts w:ascii="Tahoma" w:eastAsia="Times New Roman" w:hAnsi="Tahoma" w:cs="Tahoma"/>
          <w:b/>
          <w:bCs/>
          <w:color w:val="30383D"/>
          <w:sz w:val="21"/>
          <w:szCs w:val="21"/>
          <w:lang w:eastAsia="ru-RU"/>
        </w:rPr>
        <w:t xml:space="preserve"> </w:t>
      </w:r>
    </w:p>
    <w:p w:rsidR="00A708F6" w:rsidRPr="00A708F6" w:rsidRDefault="00A708F6" w:rsidP="00A708F6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0383D"/>
          <w:sz w:val="21"/>
          <w:szCs w:val="21"/>
          <w:lang w:eastAsia="ru-RU"/>
        </w:rPr>
      </w:pPr>
      <w:hyperlink r:id="rId12" w:history="1">
        <w:r w:rsidRPr="00A708F6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t>Личный кабинет 223-ФЗ</w:t>
        </w:r>
      </w:hyperlink>
      <w:r w:rsidRPr="00A708F6">
        <w:rPr>
          <w:rFonts w:ascii="Tahoma" w:eastAsia="Times New Roman" w:hAnsi="Tahoma" w:cs="Tahoma"/>
          <w:b/>
          <w:bCs/>
          <w:color w:val="30383D"/>
          <w:sz w:val="21"/>
          <w:szCs w:val="21"/>
          <w:lang w:eastAsia="ru-RU"/>
        </w:rPr>
        <w:t xml:space="preserve"> </w:t>
      </w:r>
    </w:p>
    <w:p w:rsidR="00A708F6" w:rsidRPr="00A708F6" w:rsidRDefault="00A708F6" w:rsidP="00A708F6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293C49"/>
          <w:sz w:val="21"/>
          <w:szCs w:val="21"/>
          <w:lang w:eastAsia="ru-RU"/>
        </w:rPr>
      </w:pPr>
      <w:r w:rsidRPr="00A708F6">
        <w:rPr>
          <w:rFonts w:ascii="Tahoma" w:eastAsia="Times New Roman" w:hAnsi="Tahoma" w:cs="Tahoma"/>
          <w:b/>
          <w:bCs/>
          <w:color w:val="293C49"/>
          <w:sz w:val="21"/>
          <w:szCs w:val="21"/>
          <w:lang w:eastAsia="ru-RU"/>
        </w:rPr>
        <w:t>Вопросы и ответы</w:t>
      </w:r>
      <w:r w:rsidRPr="00A708F6">
        <w:rPr>
          <w:rFonts w:ascii="Tahoma" w:eastAsia="Times New Roman" w:hAnsi="Tahoma" w:cs="Tahoma"/>
          <w:color w:val="293C49"/>
          <w:sz w:val="21"/>
          <w:szCs w:val="21"/>
          <w:lang w:eastAsia="ru-RU"/>
        </w:rPr>
        <w:t xml:space="preserve"> </w:t>
      </w:r>
    </w:p>
    <w:p w:rsidR="00A708F6" w:rsidRPr="00A708F6" w:rsidRDefault="00A708F6" w:rsidP="00A708F6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0383D"/>
          <w:sz w:val="21"/>
          <w:szCs w:val="21"/>
          <w:lang w:eastAsia="ru-RU"/>
        </w:rPr>
      </w:pPr>
      <w:hyperlink r:id="rId13" w:history="1">
        <w:r w:rsidRPr="00A708F6">
          <w:rPr>
            <w:rFonts w:ascii="Tahoma" w:eastAsia="Times New Roman" w:hAnsi="Tahoma" w:cs="Tahoma"/>
            <w:color w:val="30383D"/>
            <w:sz w:val="21"/>
            <w:szCs w:val="21"/>
            <w:lang w:eastAsia="ru-RU"/>
          </w:rPr>
          <w:t>Вопросы и ответы по 44-ФЗ</w:t>
        </w:r>
      </w:hyperlink>
      <w:r w:rsidRPr="00A708F6">
        <w:rPr>
          <w:rFonts w:ascii="Tahoma" w:eastAsia="Times New Roman" w:hAnsi="Tahoma" w:cs="Tahoma"/>
          <w:color w:val="30383D"/>
          <w:sz w:val="21"/>
          <w:szCs w:val="21"/>
          <w:lang w:eastAsia="ru-RU"/>
        </w:rPr>
        <w:t xml:space="preserve"> </w:t>
      </w:r>
    </w:p>
    <w:p w:rsidR="00A708F6" w:rsidRPr="00A708F6" w:rsidRDefault="00A708F6" w:rsidP="00A708F6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0383D"/>
          <w:sz w:val="21"/>
          <w:szCs w:val="21"/>
          <w:lang w:eastAsia="ru-RU"/>
        </w:rPr>
      </w:pPr>
      <w:hyperlink r:id="rId14" w:history="1">
        <w:r w:rsidRPr="00A708F6">
          <w:rPr>
            <w:rFonts w:ascii="Tahoma" w:eastAsia="Times New Roman" w:hAnsi="Tahoma" w:cs="Tahoma"/>
            <w:color w:val="30383D"/>
            <w:sz w:val="21"/>
            <w:szCs w:val="21"/>
            <w:lang w:eastAsia="ru-RU"/>
          </w:rPr>
          <w:t>Вопросы и ответы по 94-ФЗ</w:t>
        </w:r>
      </w:hyperlink>
      <w:r w:rsidRPr="00A708F6">
        <w:rPr>
          <w:rFonts w:ascii="Tahoma" w:eastAsia="Times New Roman" w:hAnsi="Tahoma" w:cs="Tahoma"/>
          <w:color w:val="30383D"/>
          <w:sz w:val="21"/>
          <w:szCs w:val="21"/>
          <w:lang w:eastAsia="ru-RU"/>
        </w:rPr>
        <w:t xml:space="preserve"> </w:t>
      </w:r>
    </w:p>
    <w:p w:rsidR="00A708F6" w:rsidRPr="00A708F6" w:rsidRDefault="00A708F6" w:rsidP="00A708F6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0383D"/>
          <w:sz w:val="21"/>
          <w:szCs w:val="21"/>
          <w:lang w:eastAsia="ru-RU"/>
        </w:rPr>
      </w:pPr>
      <w:hyperlink r:id="rId15" w:history="1">
        <w:r w:rsidRPr="00A708F6">
          <w:rPr>
            <w:rFonts w:ascii="Tahoma" w:eastAsia="Times New Roman" w:hAnsi="Tahoma" w:cs="Tahoma"/>
            <w:color w:val="30383D"/>
            <w:sz w:val="21"/>
            <w:szCs w:val="21"/>
            <w:lang w:eastAsia="ru-RU"/>
          </w:rPr>
          <w:t>Вопросы и ответы по 223-ФЗ</w:t>
        </w:r>
      </w:hyperlink>
      <w:r w:rsidRPr="00A708F6">
        <w:rPr>
          <w:rFonts w:ascii="Tahoma" w:eastAsia="Times New Roman" w:hAnsi="Tahoma" w:cs="Tahoma"/>
          <w:color w:val="30383D"/>
          <w:sz w:val="21"/>
          <w:szCs w:val="21"/>
          <w:lang w:eastAsia="ru-RU"/>
        </w:rPr>
        <w:t xml:space="preserve"> </w:t>
      </w:r>
    </w:p>
    <w:p w:rsidR="00A708F6" w:rsidRPr="00A708F6" w:rsidRDefault="00A708F6" w:rsidP="00A708F6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293C49"/>
          <w:sz w:val="21"/>
          <w:szCs w:val="21"/>
          <w:lang w:eastAsia="ru-RU"/>
        </w:rPr>
      </w:pPr>
      <w:r w:rsidRPr="00A708F6">
        <w:rPr>
          <w:rFonts w:ascii="Tahoma" w:eastAsia="Times New Roman" w:hAnsi="Tahoma" w:cs="Tahoma"/>
          <w:b/>
          <w:bCs/>
          <w:color w:val="293C49"/>
          <w:sz w:val="21"/>
          <w:szCs w:val="21"/>
          <w:lang w:eastAsia="ru-RU"/>
        </w:rPr>
        <w:t>Заказчикам и поставщикам</w:t>
      </w:r>
      <w:r w:rsidRPr="00A708F6">
        <w:rPr>
          <w:rFonts w:ascii="Tahoma" w:eastAsia="Times New Roman" w:hAnsi="Tahoma" w:cs="Tahoma"/>
          <w:color w:val="293C49"/>
          <w:sz w:val="21"/>
          <w:szCs w:val="21"/>
          <w:lang w:eastAsia="ru-RU"/>
        </w:rPr>
        <w:t xml:space="preserve"> </w:t>
      </w:r>
    </w:p>
    <w:p w:rsidR="00A708F6" w:rsidRPr="00A708F6" w:rsidRDefault="00A708F6" w:rsidP="00A708F6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0383D"/>
          <w:sz w:val="21"/>
          <w:szCs w:val="21"/>
          <w:lang w:eastAsia="ru-RU"/>
        </w:rPr>
      </w:pPr>
      <w:hyperlink r:id="rId16" w:history="1">
        <w:r w:rsidRPr="00A708F6">
          <w:rPr>
            <w:rFonts w:ascii="Tahoma" w:eastAsia="Times New Roman" w:hAnsi="Tahoma" w:cs="Tahoma"/>
            <w:color w:val="30383D"/>
            <w:sz w:val="21"/>
            <w:szCs w:val="21"/>
            <w:lang w:eastAsia="ru-RU"/>
          </w:rPr>
          <w:t>Информация по 44-ФЗ</w:t>
        </w:r>
      </w:hyperlink>
      <w:r w:rsidRPr="00A708F6">
        <w:rPr>
          <w:rFonts w:ascii="Tahoma" w:eastAsia="Times New Roman" w:hAnsi="Tahoma" w:cs="Tahoma"/>
          <w:color w:val="30383D"/>
          <w:sz w:val="21"/>
          <w:szCs w:val="21"/>
          <w:lang w:eastAsia="ru-RU"/>
        </w:rPr>
        <w:t xml:space="preserve"> </w:t>
      </w:r>
    </w:p>
    <w:p w:rsidR="00A708F6" w:rsidRPr="00A708F6" w:rsidRDefault="00A708F6" w:rsidP="00A708F6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0383D"/>
          <w:sz w:val="21"/>
          <w:szCs w:val="21"/>
          <w:lang w:eastAsia="ru-RU"/>
        </w:rPr>
      </w:pPr>
      <w:hyperlink r:id="rId17" w:history="1">
        <w:r w:rsidRPr="00A708F6">
          <w:rPr>
            <w:rFonts w:ascii="Tahoma" w:eastAsia="Times New Roman" w:hAnsi="Tahoma" w:cs="Tahoma"/>
            <w:color w:val="30383D"/>
            <w:sz w:val="21"/>
            <w:szCs w:val="21"/>
            <w:lang w:eastAsia="ru-RU"/>
          </w:rPr>
          <w:t>Информация по 94-ФЗ</w:t>
        </w:r>
      </w:hyperlink>
      <w:r w:rsidRPr="00A708F6">
        <w:rPr>
          <w:rFonts w:ascii="Tahoma" w:eastAsia="Times New Roman" w:hAnsi="Tahoma" w:cs="Tahoma"/>
          <w:color w:val="30383D"/>
          <w:sz w:val="21"/>
          <w:szCs w:val="21"/>
          <w:lang w:eastAsia="ru-RU"/>
        </w:rPr>
        <w:t xml:space="preserve"> </w:t>
      </w:r>
    </w:p>
    <w:p w:rsidR="00A708F6" w:rsidRPr="00A708F6" w:rsidRDefault="00A708F6" w:rsidP="00A708F6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0383D"/>
          <w:sz w:val="21"/>
          <w:szCs w:val="21"/>
          <w:lang w:eastAsia="ru-RU"/>
        </w:rPr>
      </w:pPr>
      <w:hyperlink r:id="rId18" w:history="1">
        <w:r w:rsidRPr="00A708F6">
          <w:rPr>
            <w:rFonts w:ascii="Tahoma" w:eastAsia="Times New Roman" w:hAnsi="Tahoma" w:cs="Tahoma"/>
            <w:color w:val="30383D"/>
            <w:sz w:val="21"/>
            <w:szCs w:val="21"/>
            <w:lang w:eastAsia="ru-RU"/>
          </w:rPr>
          <w:t>Информация по 223-ФЗ</w:t>
        </w:r>
      </w:hyperlink>
      <w:r w:rsidRPr="00A708F6">
        <w:rPr>
          <w:rFonts w:ascii="Tahoma" w:eastAsia="Times New Roman" w:hAnsi="Tahoma" w:cs="Tahoma"/>
          <w:color w:val="30383D"/>
          <w:sz w:val="21"/>
          <w:szCs w:val="21"/>
          <w:lang w:eastAsia="ru-RU"/>
        </w:rPr>
        <w:t xml:space="preserve"> </w:t>
      </w:r>
    </w:p>
    <w:p w:rsidR="00A708F6" w:rsidRPr="00A708F6" w:rsidRDefault="00A708F6" w:rsidP="00A708F6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293C49"/>
          <w:sz w:val="21"/>
          <w:szCs w:val="21"/>
          <w:lang w:eastAsia="ru-RU"/>
        </w:rPr>
      </w:pPr>
      <w:r w:rsidRPr="00A708F6">
        <w:rPr>
          <w:rFonts w:ascii="Tahoma" w:eastAsia="Times New Roman" w:hAnsi="Tahoma" w:cs="Tahoma"/>
          <w:b/>
          <w:bCs/>
          <w:color w:val="293C49"/>
          <w:sz w:val="21"/>
          <w:szCs w:val="21"/>
          <w:lang w:eastAsia="ru-RU"/>
        </w:rPr>
        <w:t>Прочая информация</w:t>
      </w:r>
    </w:p>
    <w:p w:rsidR="0034596E" w:rsidRDefault="00A708F6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95417"/>
    <w:multiLevelType w:val="multilevel"/>
    <w:tmpl w:val="7AFC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B0C2B"/>
    <w:multiLevelType w:val="multilevel"/>
    <w:tmpl w:val="DCC4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76"/>
    <w:rsid w:val="000F5895"/>
    <w:rsid w:val="003B2A59"/>
    <w:rsid w:val="00A708F6"/>
    <w:rsid w:val="00AD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CEAB7-D8E3-4C28-98EF-01DB6F22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0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08F6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A708F6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7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A708F6"/>
    <w:rPr>
      <w:strike w:val="0"/>
      <w:dstrike w:val="0"/>
      <w:u w:val="none"/>
      <w:effect w:val="none"/>
    </w:rPr>
  </w:style>
  <w:style w:type="character" w:customStyle="1" w:styleId="numeric">
    <w:name w:val="numeric"/>
    <w:basedOn w:val="a0"/>
    <w:rsid w:val="00A7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1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7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hyperlink" Target="http://zakupki.gov.ru/epz/main/public/qa/view.html?categories=FZ44" TargetMode="External"/><Relationship Id="rId18" Type="http://schemas.openxmlformats.org/officeDocument/2006/relationships/hyperlink" Target="http://zakupki.gov.ru/223/ppa/public/information/forCustomersAndSupplier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6403553&amp;revision-id=7275230" TargetMode="External"/><Relationship Id="rId12" Type="http://schemas.openxmlformats.org/officeDocument/2006/relationships/hyperlink" Target="https://zakupki.gov.ru/223/ppa/private" TargetMode="External"/><Relationship Id="rId17" Type="http://schemas.openxmlformats.org/officeDocument/2006/relationships/hyperlink" Target="http://zakupki.gov.ru/epz/main/public/forCustomersAndSupplier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upki.gov.ru/epz/main/public/forCustomersAndSuppliers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hyperlink" Target="http://zakupki.gov.ru/auth/pcabinetEsia.jsp" TargetMode="External"/><Relationship Id="rId5" Type="http://schemas.openxmlformats.org/officeDocument/2006/relationships/hyperlink" Target="https://zakupki.gov.ru/44fz/priz/notice/ea44/view/common-info.html?orderId=18478995" TargetMode="External"/><Relationship Id="rId15" Type="http://schemas.openxmlformats.org/officeDocument/2006/relationships/hyperlink" Target="http://zakupki.gov.ru/epz/main/public/qa/view.html?categories=FZ223" TargetMode="External"/><Relationship Id="rId10" Type="http://schemas.openxmlformats.org/officeDocument/2006/relationships/hyperlink" Target="http://zakupki.gov.ru/auth/pcabinet.j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epz/orderplan/plan-graph-card/general-position.html?position-id=26403553&amp;revision-id=7275230" TargetMode="External"/><Relationship Id="rId14" Type="http://schemas.openxmlformats.org/officeDocument/2006/relationships/hyperlink" Target="http://zakupki.gov.ru/epz/main/public/qa/view.html?categories=FZ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1597</Words>
  <Characters>9103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2019-04-23T01:46:00Z</dcterms:created>
  <dcterms:modified xsi:type="dcterms:W3CDTF">2019-04-23T01:46:00Z</dcterms:modified>
</cp:coreProperties>
</file>