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Федерации (руководителю </w:t>
      </w:r>
      <w:r w:rsidRPr="009C2771">
        <w:rPr>
          <w:rFonts w:ascii="Times New Roman" w:hAnsi="Times New Roman"/>
          <w:sz w:val="28"/>
          <w:szCs w:val="28"/>
        </w:rPr>
        <w:lastRenderedPageBreak/>
        <w:t>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w:t>
            </w:r>
            <w:r w:rsidRPr="00E00F6B">
              <w:rPr>
                <w:rFonts w:ascii="Times New Roman" w:hAnsi="Times New Roman"/>
                <w:sz w:val="28"/>
                <w:szCs w:val="28"/>
              </w:rPr>
              <w:lastRenderedPageBreak/>
              <w:t xml:space="preserve">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(работника</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w:t>
      </w:r>
      <w:r w:rsidRPr="00E00F6B">
        <w:rPr>
          <w:rStyle w:val="a8"/>
          <w:rFonts w:ascii="Times New Roman" w:hAnsi="Times New Roman" w:cs="Times New Roman"/>
          <w:color w:val="000000"/>
          <w:sz w:val="28"/>
          <w:szCs w:val="28"/>
        </w:rPr>
        <w:lastRenderedPageBreak/>
        <w:t xml:space="preserve">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w:t>
      </w:r>
      <w:r w:rsidRPr="00E00F6B">
        <w:rPr>
          <w:color w:val="auto"/>
          <w:sz w:val="28"/>
          <w:szCs w:val="28"/>
        </w:rPr>
        <w:lastRenderedPageBreak/>
        <w:t xml:space="preserve">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(кредитными) </w:t>
      </w:r>
      <w:r w:rsidR="008C1538" w:rsidRPr="00E00F6B">
        <w:rPr>
          <w:rFonts w:ascii="Times New Roman" w:hAnsi="Times New Roman"/>
          <w:sz w:val="28"/>
          <w:szCs w:val="28"/>
        </w:rPr>
        <w:lastRenderedPageBreak/>
        <w:t>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2E3630">
        <w:rPr>
          <w:rFonts w:ascii="Times New Roman" w:hAnsi="Times New Roman"/>
          <w:sz w:val="28"/>
          <w:szCs w:val="28"/>
        </w:rPr>
        <w:t>например</w:t>
      </w:r>
      <w:proofErr w:type="gramEnd"/>
      <w:r w:rsidR="00866005" w:rsidRPr="002E3630">
        <w:rPr>
          <w:rFonts w:ascii="Times New Roman" w:hAnsi="Times New Roman"/>
          <w:sz w:val="28"/>
          <w:szCs w:val="28"/>
        </w:rPr>
        <w:t xml:space="preserve">: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w:t>
      </w:r>
      <w:r w:rsidRPr="002E3630">
        <w:rPr>
          <w:rFonts w:ascii="Times New Roman" w:hAnsi="Times New Roman"/>
          <w:sz w:val="28"/>
          <w:szCs w:val="28"/>
        </w:rPr>
        <w:lastRenderedPageBreak/>
        <w:t xml:space="preserve">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r w:rsidR="00096ED3" w:rsidRPr="002E3630">
        <w:rPr>
          <w:rFonts w:ascii="Times New Roman" w:hAnsi="Times New Roman"/>
          <w:color w:val="000000"/>
          <w:sz w:val="28"/>
          <w:szCs w:val="28"/>
        </w:rPr>
        <w:t>При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 xml:space="preserve">3 отд. МОТОТРЭР ГИБДД УВД по </w:t>
      </w:r>
      <w:r w:rsidR="00096ED3" w:rsidRPr="002E3630">
        <w:rPr>
          <w:rFonts w:ascii="Times New Roman" w:hAnsi="Times New Roman"/>
          <w:sz w:val="28"/>
          <w:szCs w:val="28"/>
        </w:rPr>
        <w:lastRenderedPageBreak/>
        <w:t>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 xml:space="preserve">в настоящее время операторы сотовой связи, </w:t>
      </w:r>
      <w:proofErr w:type="gramStart"/>
      <w:r w:rsidRPr="00A0063C">
        <w:rPr>
          <w:rFonts w:ascii="Times New Roman" w:hAnsi="Times New Roman"/>
          <w:color w:val="000000"/>
          <w:sz w:val="28"/>
          <w:szCs w:val="28"/>
        </w:rPr>
        <w:t>например</w:t>
      </w:r>
      <w:proofErr w:type="gramEnd"/>
      <w:r w:rsidRPr="00A0063C">
        <w:rPr>
          <w:rFonts w:ascii="Times New Roman" w:hAnsi="Times New Roman"/>
          <w:color w:val="000000"/>
          <w:sz w:val="28"/>
          <w:szCs w:val="28"/>
        </w:rPr>
        <w:t xml:space="preserve">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 xml:space="preserve">равен или </w:t>
      </w:r>
      <w:proofErr w:type="gramStart"/>
      <w:r w:rsidR="006D784E">
        <w:rPr>
          <w:rFonts w:ascii="Times New Roman" w:hAnsi="Times New Roman"/>
          <w:sz w:val="28"/>
        </w:rPr>
        <w:t>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w:t>
      </w:r>
      <w:proofErr w:type="gramStart"/>
      <w:r w:rsidR="006D784E">
        <w:rPr>
          <w:rFonts w:ascii="Times New Roman" w:hAnsi="Times New Roman"/>
          <w:sz w:val="28"/>
        </w:rPr>
        <w:t xml:space="preserve">превышает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Яндекс.Деньги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 xml:space="preserve">Сумма обязательства / размер обязательства по </w:t>
      </w:r>
      <w:r w:rsidRPr="00E00F6B">
        <w:rPr>
          <w:rFonts w:ascii="Times New Roman" w:hAnsi="Times New Roman"/>
          <w:b/>
          <w:sz w:val="28"/>
          <w:szCs w:val="28"/>
        </w:rPr>
        <w:lastRenderedPageBreak/>
        <w:t>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lastRenderedPageBreak/>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xml:space="preserve">, то есть обязательства, возникающие исходя из </w:t>
      </w:r>
      <w:r w:rsidR="00334FC2" w:rsidRPr="00E00AC4">
        <w:rPr>
          <w:rFonts w:ascii="Times New Roman" w:hAnsi="Times New Roman"/>
          <w:b/>
          <w:sz w:val="28"/>
          <w:szCs w:val="28"/>
        </w:rPr>
        <w:lastRenderedPageBreak/>
        <w:t>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 xml:space="preserve">Также указывается актуальный адрес места регистрации </w:t>
      </w:r>
      <w:r w:rsidRPr="00E00F6B">
        <w:rPr>
          <w:rFonts w:ascii="Times New Roman" w:hAnsi="Times New Roman"/>
          <w:sz w:val="28"/>
          <w:szCs w:val="28"/>
        </w:rPr>
        <w:lastRenderedPageBreak/>
        <w:t>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3B8" w:rsidRDefault="009233B8" w:rsidP="00204BB5">
      <w:r>
        <w:separator/>
      </w:r>
    </w:p>
  </w:endnote>
  <w:endnote w:type="continuationSeparator" w:id="0">
    <w:p w:rsidR="009233B8" w:rsidRDefault="009233B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3B8" w:rsidRDefault="009233B8" w:rsidP="00204BB5">
      <w:r>
        <w:separator/>
      </w:r>
    </w:p>
  </w:footnote>
  <w:footnote w:type="continuationSeparator" w:id="0">
    <w:p w:rsidR="009233B8" w:rsidRDefault="009233B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94367">
      <w:rPr>
        <w:rFonts w:ascii="Times New Roman" w:hAnsi="Times New Roman"/>
        <w:noProof/>
        <w:sz w:val="28"/>
        <w:szCs w:val="28"/>
      </w:rPr>
      <w:t>21</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4367"/>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3B8"/>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4F50"/>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34FD627-5CD0-4667-8DC0-EC756F6B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Бежаев Геннадий Николаевич</cp:lastModifiedBy>
  <cp:revision>2</cp:revision>
  <cp:lastPrinted>2019-12-25T09:04:00Z</cp:lastPrinted>
  <dcterms:created xsi:type="dcterms:W3CDTF">2019-12-30T22:48:00Z</dcterms:created>
  <dcterms:modified xsi:type="dcterms:W3CDTF">2019-12-30T22:48:00Z</dcterms:modified>
</cp:coreProperties>
</file>